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1430B" w14:textId="77777777" w:rsidR="00E51CA8" w:rsidRPr="00E12654" w:rsidRDefault="00000000" w:rsidP="00E12654">
      <w:pPr>
        <w:pStyle w:val="Heading1"/>
      </w:pPr>
      <w:r w:rsidRPr="00E12654">
        <w:t>Sample Notice Informing Individuals About Nondiscrimination and Accessibility Requirements and Sample Nondiscrimination Statement:</w:t>
      </w:r>
    </w:p>
    <w:p w14:paraId="11B5F5EF" w14:textId="77777777" w:rsidR="00E51CA8" w:rsidRDefault="00000000">
      <w:pPr>
        <w:widowControl w:val="0"/>
        <w:autoSpaceDE w:val="0"/>
        <w:autoSpaceDN w:val="0"/>
        <w:bidi/>
        <w:adjustRightInd w:val="0"/>
        <w:spacing w:after="0" w:line="480" w:lineRule="auto"/>
        <w:rPr>
          <w:rFonts w:ascii="Times New Roman" w:hAnsi="Times New Roman"/>
          <w:sz w:val="24"/>
          <w:szCs w:val="24"/>
        </w:rPr>
      </w:pPr>
      <w:r>
        <w:rPr>
          <w:rFonts w:ascii="Times New Roman" w:eastAsia="Times New Roman" w:hAnsi="Times New Roman"/>
          <w:sz w:val="24"/>
          <w:szCs w:val="24"/>
          <w:rtl/>
          <w:lang w:bidi="fa-IR"/>
        </w:rPr>
        <w:t>تبعیض خلاف قانون است</w:t>
      </w:r>
    </w:p>
    <w:p w14:paraId="0CA88BE6" w14:textId="77777777" w:rsidR="00E51CA8" w:rsidRDefault="00000000">
      <w:pPr>
        <w:widowControl w:val="0"/>
        <w:autoSpaceDE w:val="0"/>
        <w:autoSpaceDN w:val="0"/>
        <w:bidi/>
        <w:adjustRightInd w:val="0"/>
        <w:spacing w:after="0" w:line="480" w:lineRule="auto"/>
        <w:ind w:firstLine="720"/>
        <w:rPr>
          <w:rFonts w:ascii="Times New Roman" w:hAnsi="Times New Roman"/>
          <w:sz w:val="24"/>
          <w:rtl/>
        </w:rPr>
      </w:pPr>
      <w:r>
        <w:rPr>
          <w:rFonts w:ascii="Times New Roman" w:eastAsia="Times New Roman" w:hAnsi="Times New Roman"/>
          <w:sz w:val="24"/>
          <w:szCs w:val="24"/>
          <w:lang w:bidi="fa-IR"/>
        </w:rPr>
        <w:t>[</w:t>
      </w:r>
      <w:r>
        <w:rPr>
          <w:rFonts w:ascii="Times New Roman" w:eastAsia="Times New Roman" w:hAnsi="Times New Roman"/>
          <w:b/>
          <w:bCs/>
          <w:sz w:val="24"/>
          <w:szCs w:val="24"/>
          <w:lang w:bidi="fa-IR"/>
        </w:rPr>
        <w:t>Name of covered entity]</w:t>
      </w:r>
      <w:r>
        <w:rPr>
          <w:rFonts w:ascii="Times New Roman" w:eastAsia="Times New Roman" w:hAnsi="Times New Roman"/>
          <w:sz w:val="24"/>
          <w:szCs w:val="24"/>
          <w:rtl/>
          <w:lang w:bidi="fa-IR"/>
        </w:rPr>
        <w:t xml:space="preserve"> تابع قوانین مربوطه حقوق مدنی فدرال است و بر اساس نژاد، رنگ پوست، خاستگاه ملی، سن، معلولیت یا جنسیت (مطابق با دامنه تبعیض جنسی مشروح در</w:t>
      </w:r>
      <w:r>
        <w:rPr>
          <w:rFonts w:ascii="Times New Roman" w:hAnsi="Times New Roman"/>
          <w:sz w:val="24"/>
        </w:rPr>
        <w:t>CFR § 92.101(a)(2</w:t>
      </w:r>
      <w:proofErr w:type="gramStart"/>
      <w:r>
        <w:rPr>
          <w:rFonts w:ascii="Times New Roman" w:hAnsi="Times New Roman"/>
          <w:sz w:val="24"/>
        </w:rPr>
        <w:t xml:space="preserve">) </w:t>
      </w:r>
      <w:r>
        <w:rPr>
          <w:rFonts w:ascii="Times New Roman" w:hAnsi="Times New Roman" w:hint="cs"/>
          <w:sz w:val="24"/>
          <w:rtl/>
        </w:rPr>
        <w:t>)</w:t>
      </w:r>
      <w:proofErr w:type="gramEnd"/>
    </w:p>
    <w:p w14:paraId="390BA144" w14:textId="77777777" w:rsidR="00E51CA8" w:rsidRDefault="00000000">
      <w:pPr>
        <w:widowControl w:val="0"/>
        <w:autoSpaceDE w:val="0"/>
        <w:autoSpaceDN w:val="0"/>
        <w:bidi/>
        <w:adjustRightInd w:val="0"/>
        <w:spacing w:after="0" w:line="480" w:lineRule="auto"/>
        <w:rPr>
          <w:rFonts w:ascii="Times New Roman" w:hAnsi="Times New Roman"/>
          <w:sz w:val="24"/>
          <w:szCs w:val="24"/>
        </w:rPr>
      </w:pPr>
      <w:r>
        <w:rPr>
          <w:rFonts w:ascii="Times New Roman" w:eastAsia="Times New Roman" w:hAnsi="Times New Roman"/>
          <w:sz w:val="24"/>
          <w:szCs w:val="24"/>
          <w:rtl/>
          <w:lang w:bidi="fa-IR"/>
        </w:rPr>
        <w:t xml:space="preserve"> [</w:t>
      </w:r>
      <w:r>
        <w:rPr>
          <w:rFonts w:ascii="Times New Roman" w:eastAsia="Times New Roman" w:hAnsi="Times New Roman"/>
          <w:b/>
          <w:bCs/>
          <w:sz w:val="24"/>
          <w:szCs w:val="24"/>
          <w:lang w:bidi="fa-IR"/>
        </w:rPr>
        <w:t>optional</w:t>
      </w:r>
      <w:r>
        <w:rPr>
          <w:rFonts w:ascii="Times New Roman" w:eastAsia="Times New Roman" w:hAnsi="Times New Roman"/>
          <w:sz w:val="24"/>
          <w:szCs w:val="24"/>
          <w:rtl/>
          <w:lang w:bidi="fa-IR"/>
        </w:rPr>
        <w:t xml:space="preserve"> </w:t>
      </w:r>
      <w:r>
        <w:rPr>
          <w:rFonts w:ascii="Times New Roman" w:eastAsia="Times New Roman" w:hAnsi="Times New Roman" w:hint="cs"/>
          <w:sz w:val="24"/>
          <w:szCs w:val="24"/>
          <w:rtl/>
          <w:lang w:bidi="fa-IR"/>
        </w:rPr>
        <w:t xml:space="preserve">: </w:t>
      </w:r>
      <w:r>
        <w:rPr>
          <w:rFonts w:ascii="Times New Roman" w:eastAsia="Times New Roman" w:hAnsi="Times New Roman"/>
          <w:sz w:val="24"/>
          <w:szCs w:val="24"/>
          <w:rtl/>
          <w:lang w:bidi="fa-IR"/>
        </w:rPr>
        <w:t>(یا جنسیت، شامل ویژگی‌های جنسی، اعم از خصوصیات بیناجنسیتی؛ بارداری یا شرایط مرتبط؛ گرایش جنسی؛ هویت جنسی و کلیشه‌های جنسیتی).</w:t>
      </w:r>
      <w:r>
        <w:rPr>
          <w:rStyle w:val="FootnoteReference"/>
          <w:rFonts w:ascii="Times New Roman" w:eastAsia="Times New Roman" w:hAnsi="Times New Roman"/>
          <w:b/>
          <w:bCs/>
          <w:sz w:val="24"/>
          <w:szCs w:val="24"/>
        </w:rPr>
        <w:footnoteReference w:id="1"/>
      </w:r>
      <w:r>
        <w:rPr>
          <w:rFonts w:ascii="Times New Roman" w:eastAsia="Times New Roman" w:hAnsi="Times New Roman"/>
          <w:sz w:val="24"/>
          <w:szCs w:val="24"/>
          <w:lang w:bidi="fa-IR"/>
        </w:rPr>
        <w:t xml:space="preserve"> [</w:t>
      </w:r>
      <w:bookmarkStart w:id="0" w:name="_Hlk132272512"/>
      <w:r>
        <w:rPr>
          <w:rFonts w:ascii="Times New Roman" w:eastAsia="Times New Roman" w:hAnsi="Times New Roman"/>
          <w:b/>
          <w:bCs/>
          <w:sz w:val="24"/>
          <w:szCs w:val="24"/>
          <w:lang w:bidi="fa-IR"/>
        </w:rPr>
        <w:t>Name of covered entity</w:t>
      </w:r>
      <w:r>
        <w:rPr>
          <w:rFonts w:ascii="Times New Roman" w:eastAsia="Times New Roman" w:hAnsi="Times New Roman"/>
          <w:sz w:val="24"/>
          <w:szCs w:val="24"/>
          <w:lang w:bidi="fa-IR"/>
        </w:rPr>
        <w:t>]</w:t>
      </w:r>
      <w:r>
        <w:rPr>
          <w:rFonts w:ascii="Times New Roman" w:eastAsia="Times New Roman" w:hAnsi="Times New Roman"/>
          <w:b/>
          <w:bCs/>
          <w:sz w:val="24"/>
          <w:szCs w:val="24"/>
          <w:lang w:bidi="fa-IR"/>
        </w:rPr>
        <w:t xml:space="preserve"> </w:t>
      </w:r>
      <w:proofErr w:type="gramStart"/>
      <w:r>
        <w:rPr>
          <w:rFonts w:ascii="Times New Roman" w:eastAsia="Times New Roman" w:hAnsi="Times New Roman"/>
          <w:b/>
          <w:bCs/>
          <w:sz w:val="24"/>
          <w:szCs w:val="24"/>
          <w:lang w:bidi="fa-IR"/>
        </w:rPr>
        <w:t xml:space="preserve">[ </w:t>
      </w:r>
      <w:r>
        <w:rPr>
          <w:rFonts w:ascii="Times New Roman" w:eastAsia="Times New Roman" w:hAnsi="Times New Roman"/>
          <w:sz w:val="24"/>
          <w:szCs w:val="24"/>
          <w:rtl/>
          <w:lang w:bidi="fa-IR"/>
        </w:rPr>
        <w:t xml:space="preserve"> ما‌بین</w:t>
      </w:r>
      <w:proofErr w:type="gramEnd"/>
      <w:r>
        <w:rPr>
          <w:rFonts w:ascii="Times New Roman" w:eastAsia="Times New Roman" w:hAnsi="Times New Roman"/>
          <w:sz w:val="24"/>
          <w:szCs w:val="24"/>
          <w:rtl/>
          <w:lang w:bidi="fa-IR"/>
        </w:rPr>
        <w:t xml:space="preserve"> افراد تبعیض قائل نمی‌شود یا بر اساس نژاد، رنگ پوست، خاستگاه ملی، سن، معلولیت یا جنسیت، افراد را طرد نمی‌کند یا با آن‌ها رفتار متفاوتی ندارد.</w:t>
      </w:r>
    </w:p>
    <w:bookmarkEnd w:id="0"/>
    <w:p w14:paraId="0E3675B6" w14:textId="77777777" w:rsidR="00E51CA8" w:rsidRDefault="00000000">
      <w:pPr>
        <w:widowControl w:val="0"/>
        <w:autoSpaceDE w:val="0"/>
        <w:autoSpaceDN w:val="0"/>
        <w:bidi/>
        <w:adjustRightInd w:val="0"/>
        <w:spacing w:after="0" w:line="480" w:lineRule="auto"/>
        <w:ind w:firstLine="720"/>
        <w:rPr>
          <w:rFonts w:ascii="Times New Roman" w:hAnsi="Times New Roman"/>
          <w:sz w:val="24"/>
          <w:szCs w:val="24"/>
        </w:rPr>
      </w:pPr>
      <w:r>
        <w:rPr>
          <w:rFonts w:ascii="Times New Roman" w:eastAsia="Times New Roman" w:hAnsi="Times New Roman"/>
          <w:sz w:val="24"/>
          <w:szCs w:val="24"/>
          <w:rtl/>
          <w:lang w:bidi="fa-IR"/>
        </w:rPr>
        <w:t>[</w:t>
      </w:r>
      <w:r>
        <w:rPr>
          <w:rFonts w:ascii="Times New Roman" w:eastAsia="Times New Roman" w:hAnsi="Times New Roman"/>
          <w:b/>
          <w:bCs/>
          <w:sz w:val="24"/>
          <w:szCs w:val="24"/>
          <w:lang w:bidi="fa-IR"/>
        </w:rPr>
        <w:t>optional</w:t>
      </w:r>
      <w:r>
        <w:rPr>
          <w:rFonts w:ascii="Times New Roman" w:eastAsia="Times New Roman" w:hAnsi="Times New Roman"/>
          <w:sz w:val="24"/>
          <w:szCs w:val="24"/>
          <w:rtl/>
          <w:lang w:bidi="fa-IR"/>
        </w:rPr>
        <w:t xml:space="preserve"> </w:t>
      </w:r>
      <w:r>
        <w:rPr>
          <w:rFonts w:ascii="Times New Roman" w:eastAsia="Times New Roman" w:hAnsi="Times New Roman" w:hint="cs"/>
          <w:sz w:val="24"/>
          <w:szCs w:val="24"/>
          <w:rtl/>
          <w:lang w:bidi="fa-IR"/>
        </w:rPr>
        <w:t>:</w:t>
      </w:r>
      <w:r>
        <w:rPr>
          <w:rFonts w:ascii="Times New Roman" w:hAnsi="Times New Roman"/>
          <w:sz w:val="24"/>
          <w:szCs w:val="24"/>
        </w:rPr>
        <w:t>[</w:t>
      </w:r>
      <w:r>
        <w:rPr>
          <w:rFonts w:ascii="Times New Roman" w:hAnsi="Times New Roman"/>
          <w:b/>
          <w:bCs/>
          <w:sz w:val="24"/>
          <w:szCs w:val="24"/>
        </w:rPr>
        <w:t>Name of the covered entity</w:t>
      </w:r>
      <w:r>
        <w:rPr>
          <w:rFonts w:ascii="Times New Roman" w:hAnsi="Times New Roman"/>
          <w:sz w:val="24"/>
          <w:szCs w:val="24"/>
        </w:rPr>
        <w:t>]</w:t>
      </w:r>
      <w:r>
        <w:rPr>
          <w:rFonts w:ascii="Times New Roman" w:eastAsia="Times New Roman" w:hAnsi="Times New Roman"/>
          <w:sz w:val="24"/>
          <w:szCs w:val="24"/>
          <w:rtl/>
          <w:lang w:bidi="fa-IR"/>
        </w:rPr>
        <w:t xml:space="preserve"> در حال حاضر دارای یک معافیت [</w:t>
      </w:r>
      <w:r>
        <w:rPr>
          <w:rFonts w:ascii="Times New Roman" w:eastAsia="Times New Roman" w:hAnsi="Times New Roman"/>
          <w:b/>
          <w:bCs/>
          <w:sz w:val="24"/>
          <w:szCs w:val="24"/>
          <w:lang w:bidi="fa-IR"/>
        </w:rPr>
        <w:t>religious and/or conscience</w:t>
      </w:r>
      <w:r>
        <w:rPr>
          <w:rFonts w:ascii="Times New Roman" w:eastAsia="Times New Roman" w:hAnsi="Times New Roman"/>
          <w:sz w:val="24"/>
          <w:szCs w:val="24"/>
          <w:rtl/>
          <w:lang w:bidi="fa-IR"/>
        </w:rPr>
        <w:t xml:space="preserve">] از اداره </w:t>
      </w:r>
      <w:r>
        <w:rPr>
          <w:rFonts w:ascii="Times New Roman" w:eastAsia="Times New Roman" w:hAnsi="Times New Roman"/>
          <w:sz w:val="24"/>
          <w:szCs w:val="24"/>
          <w:lang w:bidi="fa-IR"/>
        </w:rPr>
        <w:t>HHS</w:t>
      </w:r>
      <w:r>
        <w:rPr>
          <w:rFonts w:ascii="Times New Roman" w:eastAsia="Times New Roman" w:hAnsi="Times New Roman"/>
          <w:sz w:val="24"/>
          <w:szCs w:val="24"/>
          <w:rtl/>
          <w:lang w:bidi="fa-IR"/>
        </w:rPr>
        <w:t xml:space="preserve"> برای حقوق مدنی است که [</w:t>
      </w:r>
      <w:r>
        <w:rPr>
          <w:rFonts w:ascii="Times New Roman" w:eastAsia="Times New Roman" w:hAnsi="Times New Roman"/>
          <w:b/>
          <w:bCs/>
          <w:sz w:val="24"/>
          <w:szCs w:val="24"/>
          <w:lang w:bidi="fa-IR"/>
        </w:rPr>
        <w:t>name of the covered entity</w:t>
      </w:r>
      <w:r>
        <w:rPr>
          <w:rFonts w:ascii="Times New Roman" w:eastAsia="Times New Roman" w:hAnsi="Times New Roman"/>
          <w:sz w:val="24"/>
          <w:szCs w:val="24"/>
          <w:rtl/>
          <w:lang w:bidi="fa-IR"/>
        </w:rPr>
        <w:t xml:space="preserve"> ] را از رعایت [</w:t>
      </w:r>
      <w:r>
        <w:rPr>
          <w:rFonts w:ascii="Times New Roman" w:eastAsia="Times New Roman" w:hAnsi="Times New Roman"/>
          <w:b/>
          <w:bCs/>
          <w:sz w:val="24"/>
          <w:szCs w:val="24"/>
          <w:lang w:bidi="fa-IR"/>
        </w:rPr>
        <w:t>list provisions of Section 1557 to which the exemption applies, and the scope/terms of that exemption</w:t>
      </w:r>
      <w:r>
        <w:rPr>
          <w:rFonts w:ascii="Times New Roman" w:eastAsia="Times New Roman" w:hAnsi="Times New Roman"/>
          <w:sz w:val="24"/>
          <w:szCs w:val="24"/>
          <w:rtl/>
          <w:lang w:bidi="fa-IR"/>
        </w:rPr>
        <w:t>] معاف می‌کند.</w:t>
      </w:r>
    </w:p>
    <w:p w14:paraId="5A4E8FF2" w14:textId="77777777" w:rsidR="00E51CA8" w:rsidRDefault="00000000">
      <w:pPr>
        <w:widowControl w:val="0"/>
        <w:autoSpaceDE w:val="0"/>
        <w:autoSpaceDN w:val="0"/>
        <w:bidi/>
        <w:adjustRightInd w:val="0"/>
        <w:spacing w:after="0" w:line="480" w:lineRule="auto"/>
        <w:rPr>
          <w:rFonts w:ascii="Times New Roman" w:hAnsi="Times New Roman"/>
          <w:sz w:val="24"/>
          <w:szCs w:val="24"/>
        </w:rPr>
      </w:pPr>
      <w:r>
        <w:rPr>
          <w:rFonts w:ascii="Times New Roman" w:hAnsi="Times New Roman"/>
          <w:sz w:val="24"/>
          <w:szCs w:val="24"/>
        </w:rPr>
        <w:t> </w:t>
      </w:r>
      <w:r>
        <w:rPr>
          <w:rFonts w:ascii="Times New Roman" w:hAnsi="Times New Roman"/>
          <w:sz w:val="24"/>
          <w:szCs w:val="24"/>
        </w:rPr>
        <w:tab/>
        <w:t>[</w:t>
      </w:r>
      <w:r>
        <w:rPr>
          <w:rFonts w:ascii="Times New Roman" w:hAnsi="Times New Roman"/>
          <w:b/>
          <w:bCs/>
          <w:sz w:val="24"/>
          <w:szCs w:val="24"/>
        </w:rPr>
        <w:t>Name of covered entity</w:t>
      </w:r>
      <w:r>
        <w:rPr>
          <w:rFonts w:ascii="Times New Roman" w:hAnsi="Times New Roman"/>
          <w:sz w:val="24"/>
          <w:szCs w:val="24"/>
        </w:rPr>
        <w:t>]:</w:t>
      </w:r>
    </w:p>
    <w:p w14:paraId="12F52609" w14:textId="3C110361" w:rsidR="00E51CA8" w:rsidRPr="00E12654" w:rsidRDefault="00000000" w:rsidP="00E12654">
      <w:pPr>
        <w:pStyle w:val="ListParagraph"/>
        <w:widowControl w:val="0"/>
        <w:numPr>
          <w:ilvl w:val="0"/>
          <w:numId w:val="3"/>
        </w:numPr>
        <w:autoSpaceDE w:val="0"/>
        <w:autoSpaceDN w:val="0"/>
        <w:bidi/>
        <w:adjustRightInd w:val="0"/>
        <w:spacing w:line="480" w:lineRule="auto"/>
        <w:ind w:left="0" w:firstLine="720"/>
        <w:rPr>
          <w:rFonts w:ascii="Times New Roman" w:hAnsi="Times New Roman"/>
        </w:rPr>
      </w:pPr>
      <w:r w:rsidRPr="00E12654">
        <w:rPr>
          <w:rFonts w:ascii="Times New Roman" w:eastAsia="Times New Roman" w:hAnsi="Times New Roman"/>
          <w:rtl/>
          <w:lang w:bidi="fa-IR"/>
        </w:rPr>
        <w:t>تطبیق‌های معقول و کمک‌ها و خدمات پشتیبانی مناسب رایگان را به افراد دارای معلولیت ارائه می‌دهد تا بتوانند به طور مؤثر با ما ارتباط برقرار کنند، مانند:</w:t>
      </w:r>
    </w:p>
    <w:p w14:paraId="61C0E90E" w14:textId="4F68275B" w:rsidR="00E51CA8" w:rsidRPr="00E12654" w:rsidRDefault="00000000" w:rsidP="00E12654">
      <w:pPr>
        <w:pStyle w:val="ListParagraph"/>
        <w:widowControl w:val="0"/>
        <w:numPr>
          <w:ilvl w:val="0"/>
          <w:numId w:val="4"/>
        </w:numPr>
        <w:autoSpaceDE w:val="0"/>
        <w:autoSpaceDN w:val="0"/>
        <w:bidi/>
        <w:adjustRightInd w:val="0"/>
        <w:spacing w:line="480" w:lineRule="auto"/>
        <w:ind w:left="1440"/>
        <w:rPr>
          <w:rFonts w:ascii="Times New Roman" w:hAnsi="Times New Roman"/>
        </w:rPr>
      </w:pPr>
      <w:r w:rsidRPr="00E12654">
        <w:rPr>
          <w:rFonts w:ascii="Times New Roman" w:eastAsia="Times New Roman" w:hAnsi="Times New Roman"/>
          <w:rtl/>
          <w:lang w:bidi="fa-IR"/>
        </w:rPr>
        <w:t xml:space="preserve"> مترجمان واجد شرایط زبان اشاره</w:t>
      </w:r>
    </w:p>
    <w:p w14:paraId="40B9AA5C" w14:textId="17C7B618" w:rsidR="00E51CA8" w:rsidRDefault="00000000" w:rsidP="00E12654">
      <w:pPr>
        <w:pStyle w:val="ListParagraph"/>
        <w:widowControl w:val="0"/>
        <w:numPr>
          <w:ilvl w:val="0"/>
          <w:numId w:val="4"/>
        </w:numPr>
        <w:autoSpaceDE w:val="0"/>
        <w:autoSpaceDN w:val="0"/>
        <w:bidi/>
        <w:adjustRightInd w:val="0"/>
        <w:spacing w:line="480" w:lineRule="auto"/>
        <w:ind w:left="720" w:firstLine="360"/>
        <w:rPr>
          <w:rFonts w:ascii="Times New Roman" w:hAnsi="Times New Roman"/>
        </w:rPr>
      </w:pPr>
      <w:r w:rsidRPr="00E12654">
        <w:rPr>
          <w:rFonts w:ascii="Times New Roman" w:eastAsia="Times New Roman" w:hAnsi="Times New Roman"/>
          <w:rtl/>
          <w:lang w:bidi="fa-IR"/>
        </w:rPr>
        <w:t>اطلاعات مکتوب در قالب‌های دیگر (چاپ بزرگ، فرمت صوتی، فرمت‌های الکترونیک قابل</w:t>
      </w:r>
      <w:r>
        <w:rPr>
          <w:rFonts w:ascii="Times New Roman" w:eastAsia="Times New Roman" w:hAnsi="Times New Roman"/>
          <w:rtl/>
          <w:lang w:bidi="fa-IR"/>
        </w:rPr>
        <w:t xml:space="preserve"> دسترس، سایر فرمت‌ها).</w:t>
      </w:r>
    </w:p>
    <w:p w14:paraId="2DC950F5" w14:textId="0A55F580" w:rsidR="00E51CA8" w:rsidRPr="00E12654" w:rsidRDefault="00000000" w:rsidP="00E12654">
      <w:pPr>
        <w:pStyle w:val="ListParagraph"/>
        <w:widowControl w:val="0"/>
        <w:numPr>
          <w:ilvl w:val="0"/>
          <w:numId w:val="3"/>
        </w:numPr>
        <w:autoSpaceDE w:val="0"/>
        <w:autoSpaceDN w:val="0"/>
        <w:bidi/>
        <w:adjustRightInd w:val="0"/>
        <w:spacing w:line="480" w:lineRule="auto"/>
        <w:ind w:left="0" w:firstLine="720"/>
        <w:rPr>
          <w:rFonts w:ascii="Times New Roman" w:hAnsi="Times New Roman"/>
        </w:rPr>
      </w:pPr>
      <w:r w:rsidRPr="00E12654">
        <w:rPr>
          <w:rFonts w:ascii="Times New Roman" w:eastAsia="Times New Roman" w:hAnsi="Times New Roman"/>
          <w:rtl/>
          <w:lang w:bidi="fa-IR"/>
        </w:rPr>
        <w:t>خدمات پشتیبانی ‌زبانی رایگان را به افرادی که زبان اصلی‌شان انگلیسی نیست ارائه می‌دهد که می‌تواند شامل موارد زیر باشد:</w:t>
      </w:r>
    </w:p>
    <w:p w14:paraId="1F339010" w14:textId="35CCAE59" w:rsidR="00E51CA8" w:rsidRPr="00E12654" w:rsidRDefault="00000000" w:rsidP="00E12654">
      <w:pPr>
        <w:pStyle w:val="ListParagraph"/>
        <w:widowControl w:val="0"/>
        <w:numPr>
          <w:ilvl w:val="0"/>
          <w:numId w:val="6"/>
        </w:numPr>
        <w:autoSpaceDE w:val="0"/>
        <w:autoSpaceDN w:val="0"/>
        <w:bidi/>
        <w:adjustRightInd w:val="0"/>
        <w:spacing w:line="480" w:lineRule="auto"/>
        <w:rPr>
          <w:rFonts w:ascii="Times New Roman" w:eastAsia="Times New Roman" w:hAnsi="Times New Roman"/>
          <w:lang w:bidi="fa-IR"/>
        </w:rPr>
      </w:pPr>
      <w:r w:rsidRPr="00E12654">
        <w:rPr>
          <w:rFonts w:ascii="Times New Roman" w:eastAsia="Times New Roman" w:hAnsi="Times New Roman"/>
          <w:rtl/>
          <w:lang w:bidi="fa-IR"/>
        </w:rPr>
        <w:t>مترجمان شفاهی واجد شرایط</w:t>
      </w:r>
    </w:p>
    <w:p w14:paraId="182A6D1D" w14:textId="1DB29A77" w:rsidR="00E51CA8" w:rsidRPr="00E12654" w:rsidRDefault="00000000" w:rsidP="00E12654">
      <w:pPr>
        <w:pStyle w:val="ListParagraph"/>
        <w:widowControl w:val="0"/>
        <w:numPr>
          <w:ilvl w:val="0"/>
          <w:numId w:val="6"/>
        </w:numPr>
        <w:autoSpaceDE w:val="0"/>
        <w:autoSpaceDN w:val="0"/>
        <w:bidi/>
        <w:adjustRightInd w:val="0"/>
        <w:spacing w:line="480" w:lineRule="auto"/>
        <w:rPr>
          <w:rFonts w:ascii="Times New Roman" w:eastAsia="Times New Roman" w:hAnsi="Times New Roman"/>
          <w:lang w:bidi="fa-IR"/>
        </w:rPr>
      </w:pPr>
      <w:r w:rsidRPr="00E12654">
        <w:rPr>
          <w:rFonts w:ascii="Times New Roman" w:eastAsia="Times New Roman" w:hAnsi="Times New Roman"/>
          <w:lang w:bidi="fa-IR"/>
        </w:rPr>
        <w:t> </w:t>
      </w:r>
      <w:r w:rsidRPr="00E12654">
        <w:rPr>
          <w:rFonts w:ascii="Times New Roman" w:eastAsia="Times New Roman" w:hAnsi="Times New Roman"/>
          <w:rtl/>
          <w:lang w:bidi="fa-IR"/>
        </w:rPr>
        <w:t>اطلاعات مکتوب در زبان‌های دیگر.</w:t>
      </w:r>
    </w:p>
    <w:p w14:paraId="2EA8A6F6" w14:textId="77777777" w:rsidR="00E51CA8" w:rsidRDefault="00000000">
      <w:pPr>
        <w:widowControl w:val="0"/>
        <w:autoSpaceDE w:val="0"/>
        <w:autoSpaceDN w:val="0"/>
        <w:bidi/>
        <w:adjustRightInd w:val="0"/>
        <w:spacing w:after="0" w:line="480" w:lineRule="auto"/>
        <w:rPr>
          <w:rFonts w:ascii="Times New Roman" w:hAnsi="Times New Roman"/>
          <w:sz w:val="24"/>
          <w:szCs w:val="24"/>
        </w:rPr>
      </w:pPr>
      <w:r>
        <w:rPr>
          <w:rFonts w:ascii="Times New Roman" w:eastAsia="Times New Roman" w:hAnsi="Times New Roman"/>
          <w:sz w:val="24"/>
          <w:szCs w:val="24"/>
          <w:lang w:bidi="fa-IR"/>
        </w:rPr>
        <w:lastRenderedPageBreak/>
        <w:t> </w:t>
      </w:r>
      <w:r>
        <w:rPr>
          <w:rFonts w:ascii="Times New Roman" w:eastAsia="Times New Roman" w:hAnsi="Times New Roman"/>
          <w:sz w:val="24"/>
          <w:szCs w:val="24"/>
          <w:lang w:bidi="fa-IR"/>
        </w:rPr>
        <w:tab/>
      </w:r>
      <w:r>
        <w:rPr>
          <w:rFonts w:ascii="Times New Roman" w:eastAsia="Times New Roman" w:hAnsi="Times New Roman"/>
          <w:sz w:val="24"/>
          <w:szCs w:val="24"/>
          <w:rtl/>
          <w:lang w:bidi="fa-IR"/>
        </w:rPr>
        <w:t>اگر به تطبیق‌های معقول، کمک‌ها و خدمات پشتیبانی مناسب یا خدمات پشتیبانی زبانی نیاز دارید، با [</w:t>
      </w:r>
      <w:r>
        <w:rPr>
          <w:rFonts w:ascii="Times New Roman" w:eastAsia="Times New Roman" w:hAnsi="Times New Roman"/>
          <w:b/>
          <w:bCs/>
          <w:sz w:val="24"/>
          <w:szCs w:val="24"/>
          <w:lang w:bidi="fa-IR"/>
        </w:rPr>
        <w:t>name of Civil Rights Coordinator</w:t>
      </w:r>
      <w:r>
        <w:rPr>
          <w:rFonts w:ascii="Times New Roman" w:eastAsia="Times New Roman" w:hAnsi="Times New Roman"/>
          <w:sz w:val="24"/>
          <w:szCs w:val="24"/>
          <w:rtl/>
          <w:lang w:bidi="fa-IR"/>
        </w:rPr>
        <w:t>] تماس بگیرید.</w:t>
      </w:r>
    </w:p>
    <w:p w14:paraId="1719F267" w14:textId="77777777" w:rsidR="00E51CA8" w:rsidRDefault="00000000">
      <w:pPr>
        <w:bidi/>
        <w:spacing w:after="0" w:line="480" w:lineRule="auto"/>
        <w:ind w:firstLine="720"/>
        <w:rPr>
          <w:rFonts w:ascii="Times New Roman" w:eastAsia="Times New Roman" w:hAnsi="Times New Roman"/>
          <w:sz w:val="24"/>
          <w:szCs w:val="24"/>
          <w:rtl/>
          <w:lang w:bidi="fa-IR"/>
        </w:rPr>
      </w:pPr>
      <w:r>
        <w:rPr>
          <w:rFonts w:ascii="Times New Roman" w:eastAsia="Times New Roman" w:hAnsi="Times New Roman"/>
          <w:sz w:val="24"/>
          <w:szCs w:val="24"/>
          <w:rtl/>
          <w:lang w:bidi="fa-IR"/>
        </w:rPr>
        <w:t>اگر فکر می‌کنید که [</w:t>
      </w:r>
      <w:r>
        <w:rPr>
          <w:rFonts w:ascii="Times New Roman" w:eastAsia="Times New Roman" w:hAnsi="Times New Roman"/>
          <w:b/>
          <w:bCs/>
          <w:sz w:val="24"/>
          <w:szCs w:val="24"/>
          <w:lang w:bidi="fa-IR"/>
        </w:rPr>
        <w:t>name of covered entity</w:t>
      </w:r>
      <w:r>
        <w:rPr>
          <w:rFonts w:ascii="Times New Roman" w:eastAsia="Times New Roman" w:hAnsi="Times New Roman"/>
          <w:sz w:val="24"/>
          <w:szCs w:val="24"/>
          <w:rtl/>
          <w:lang w:bidi="fa-IR"/>
        </w:rPr>
        <w:t xml:space="preserve">] در ارائه این خدمات کوتاهی کرده یا به نحو دیگری بر اساس نژاد، رنگ پوست، خاستگاه ملی، سن، معلولیت یا جنسیت، تبعیض قائل شده است، می‌توانید شکایت خود را نزد این مقام ثبت کنید: </w:t>
      </w:r>
      <w:r>
        <w:rPr>
          <w:rFonts w:ascii="Times New Roman" w:hAnsi="Times New Roman"/>
          <w:sz w:val="24"/>
          <w:szCs w:val="24"/>
        </w:rPr>
        <w:t>[</w:t>
      </w:r>
      <w:r>
        <w:rPr>
          <w:rFonts w:ascii="Times New Roman" w:hAnsi="Times New Roman"/>
          <w:b/>
          <w:bCs/>
          <w:sz w:val="24"/>
          <w:szCs w:val="24"/>
        </w:rPr>
        <w:t>name and title of Civil Rights Coordinator</w:t>
      </w:r>
      <w:r>
        <w:rPr>
          <w:rFonts w:ascii="Times New Roman" w:hAnsi="Times New Roman"/>
          <w:sz w:val="24"/>
          <w:szCs w:val="24"/>
        </w:rPr>
        <w:t>], [</w:t>
      </w:r>
      <w:r>
        <w:rPr>
          <w:rFonts w:ascii="Times New Roman" w:hAnsi="Times New Roman"/>
          <w:b/>
          <w:bCs/>
          <w:sz w:val="24"/>
          <w:szCs w:val="24"/>
        </w:rPr>
        <w:t>mailing address</w:t>
      </w:r>
      <w:r>
        <w:rPr>
          <w:rFonts w:ascii="Times New Roman" w:hAnsi="Times New Roman"/>
          <w:sz w:val="24"/>
          <w:szCs w:val="24"/>
        </w:rPr>
        <w:t>], [</w:t>
      </w:r>
      <w:r>
        <w:rPr>
          <w:rFonts w:ascii="Times New Roman" w:hAnsi="Times New Roman"/>
          <w:b/>
          <w:bCs/>
          <w:sz w:val="24"/>
          <w:szCs w:val="24"/>
        </w:rPr>
        <w:t>telephone number</w:t>
      </w:r>
      <w:r>
        <w:rPr>
          <w:rFonts w:ascii="Times New Roman" w:hAnsi="Times New Roman"/>
          <w:sz w:val="24"/>
          <w:szCs w:val="24"/>
        </w:rPr>
        <w:t>], [</w:t>
      </w:r>
      <w:r>
        <w:rPr>
          <w:rFonts w:ascii="Times New Roman" w:hAnsi="Times New Roman"/>
          <w:b/>
          <w:bCs/>
          <w:sz w:val="24"/>
          <w:szCs w:val="24"/>
        </w:rPr>
        <w:t>TTY number—if covered entity has one</w:t>
      </w:r>
      <w:r>
        <w:rPr>
          <w:rFonts w:ascii="Times New Roman" w:hAnsi="Times New Roman"/>
          <w:sz w:val="24"/>
          <w:szCs w:val="24"/>
        </w:rPr>
        <w:t>], [</w:t>
      </w:r>
      <w:r>
        <w:rPr>
          <w:rFonts w:ascii="Times New Roman" w:hAnsi="Times New Roman"/>
          <w:b/>
          <w:bCs/>
          <w:sz w:val="24"/>
          <w:szCs w:val="24"/>
        </w:rPr>
        <w:t>fax</w:t>
      </w:r>
      <w:r>
        <w:rPr>
          <w:rFonts w:ascii="Times New Roman" w:hAnsi="Times New Roman"/>
          <w:sz w:val="24"/>
          <w:szCs w:val="24"/>
        </w:rPr>
        <w:t>], [</w:t>
      </w:r>
      <w:r>
        <w:rPr>
          <w:rFonts w:ascii="Times New Roman" w:hAnsi="Times New Roman"/>
          <w:b/>
          <w:bCs/>
          <w:sz w:val="24"/>
          <w:szCs w:val="24"/>
        </w:rPr>
        <w:t>email</w:t>
      </w:r>
      <w:r>
        <w:rPr>
          <w:rFonts w:ascii="Times New Roman" w:hAnsi="Times New Roman"/>
          <w:sz w:val="24"/>
          <w:szCs w:val="24"/>
        </w:rPr>
        <w:t xml:space="preserve">]. </w:t>
      </w:r>
    </w:p>
    <w:p w14:paraId="59751463" w14:textId="77777777" w:rsidR="00E51CA8" w:rsidRDefault="00000000">
      <w:pPr>
        <w:bidi/>
        <w:spacing w:after="0" w:line="480" w:lineRule="auto"/>
        <w:ind w:firstLine="720"/>
        <w:rPr>
          <w:rFonts w:ascii="Times New Roman" w:hAnsi="Times New Roman"/>
          <w:sz w:val="24"/>
          <w:szCs w:val="24"/>
        </w:rPr>
      </w:pPr>
      <w:r>
        <w:rPr>
          <w:rFonts w:ascii="Times New Roman" w:eastAsia="Times New Roman" w:hAnsi="Times New Roman"/>
          <w:sz w:val="24"/>
          <w:szCs w:val="24"/>
          <w:rtl/>
          <w:lang w:bidi="fa-IR"/>
        </w:rPr>
        <w:t>حضوری یا از طریق پست، فکس یا ایمیل ارائه کنید.</w:t>
      </w:r>
      <w:r>
        <w:rPr>
          <w:rFonts w:ascii="Times New Roman" w:eastAsia="Times New Roman" w:hAnsi="Times New Roman"/>
          <w:sz w:val="24"/>
          <w:szCs w:val="24"/>
          <w:lang w:bidi="fa-IR"/>
        </w:rPr>
        <w:t xml:space="preserve"> </w:t>
      </w:r>
      <w:r>
        <w:rPr>
          <w:rFonts w:ascii="Times New Roman" w:eastAsia="Times New Roman" w:hAnsi="Times New Roman"/>
          <w:sz w:val="24"/>
          <w:szCs w:val="24"/>
          <w:rtl/>
          <w:lang w:bidi="fa-IR"/>
        </w:rPr>
        <w:t>اگر برای ثبت شکایت به کمک نیاز دارید، [</w:t>
      </w:r>
      <w:r>
        <w:rPr>
          <w:rFonts w:ascii="Times New Roman" w:eastAsia="Times New Roman" w:hAnsi="Times New Roman"/>
          <w:b/>
          <w:bCs/>
          <w:sz w:val="24"/>
          <w:szCs w:val="24"/>
          <w:lang w:bidi="fa-IR"/>
        </w:rPr>
        <w:t>name and title of Civil Rights Coordinator</w:t>
      </w:r>
      <w:r>
        <w:rPr>
          <w:rFonts w:ascii="Times New Roman" w:eastAsia="Times New Roman" w:hAnsi="Times New Roman"/>
          <w:sz w:val="24"/>
          <w:szCs w:val="24"/>
          <w:rtl/>
          <w:lang w:bidi="fa-IR"/>
        </w:rPr>
        <w:t>] آماده کمک به شما است.</w:t>
      </w:r>
      <w:r>
        <w:rPr>
          <w:rFonts w:ascii="Times New Roman" w:eastAsia="Times New Roman" w:hAnsi="Times New Roman"/>
          <w:sz w:val="24"/>
          <w:szCs w:val="24"/>
          <w:lang w:bidi="fa-IR"/>
        </w:rPr>
        <w:t xml:space="preserve"> </w:t>
      </w:r>
    </w:p>
    <w:p w14:paraId="7B9BF1ED" w14:textId="77777777" w:rsidR="00E51CA8" w:rsidRDefault="00000000">
      <w:pPr>
        <w:bidi/>
        <w:spacing w:after="0" w:line="480" w:lineRule="auto"/>
        <w:ind w:firstLine="720"/>
        <w:rPr>
          <w:rFonts w:ascii="Times New Roman" w:hAnsi="Times New Roman"/>
          <w:sz w:val="24"/>
          <w:szCs w:val="24"/>
        </w:rPr>
      </w:pPr>
      <w:r>
        <w:rPr>
          <w:rFonts w:ascii="Times New Roman" w:eastAsia="Times New Roman" w:hAnsi="Times New Roman"/>
          <w:sz w:val="24"/>
          <w:szCs w:val="24"/>
          <w:rtl/>
          <w:lang w:bidi="fa-IR"/>
        </w:rPr>
        <w:t xml:space="preserve">همچنین می‌توانید از طریق درگاه الکترونیک دفتر شکایت حقوق مدنی به نشانی </w:t>
      </w:r>
      <w:hyperlink r:id="rId7" w:history="1">
        <w:r>
          <w:rPr>
            <w:rFonts w:ascii="Times New Roman" w:eastAsia="Times New Roman" w:hAnsi="Times New Roman"/>
            <w:color w:val="0000FF"/>
            <w:sz w:val="24"/>
            <w:szCs w:val="24"/>
            <w:u w:val="single"/>
            <w:lang w:bidi="fa-IR"/>
          </w:rPr>
          <w:t>https://ocrportal.hhs.gov/ocr/portal/lobby.jsf</w:t>
        </w:r>
      </w:hyperlink>
      <w:r>
        <w:rPr>
          <w:rFonts w:ascii="Times New Roman" w:eastAsia="Times New Roman" w:hAnsi="Times New Roman"/>
          <w:sz w:val="24"/>
          <w:szCs w:val="24"/>
          <w:rtl/>
          <w:lang w:bidi="fa-IR"/>
        </w:rPr>
        <w:t xml:space="preserve"> یا از طریق پست یا تلفن به مشخصات زیر، یک شکایت حقوق مدنی را نزد دفتر حقوق مدنی وزارت بهداشت و خدمات انسانی ایالات متحده ثبت کنید:</w:t>
      </w:r>
    </w:p>
    <w:p w14:paraId="289D1ABE" w14:textId="77777777" w:rsidR="00E51CA8" w:rsidRDefault="00E51CA8">
      <w:pPr>
        <w:bidi/>
        <w:spacing w:after="0" w:line="480" w:lineRule="auto"/>
        <w:jc w:val="right"/>
        <w:rPr>
          <w:rFonts w:ascii="Times New Roman" w:hAnsi="Times New Roman"/>
          <w:sz w:val="24"/>
          <w:szCs w:val="24"/>
        </w:rPr>
      </w:pPr>
    </w:p>
    <w:p w14:paraId="2E17B86D" w14:textId="77777777" w:rsidR="00E51CA8" w:rsidRDefault="00000000">
      <w:pPr>
        <w:bidi/>
        <w:spacing w:after="0" w:line="480" w:lineRule="auto"/>
        <w:jc w:val="right"/>
        <w:rPr>
          <w:rFonts w:ascii="Times New Roman" w:hAnsi="Times New Roman"/>
          <w:sz w:val="24"/>
          <w:szCs w:val="24"/>
        </w:rPr>
      </w:pPr>
      <w:r>
        <w:rPr>
          <w:rFonts w:ascii="Times New Roman" w:eastAsia="Times New Roman" w:hAnsi="Times New Roman"/>
          <w:sz w:val="24"/>
          <w:szCs w:val="24"/>
          <w:lang w:bidi="fa-IR"/>
        </w:rPr>
        <w:t>U.S. Department of Health and Human Services</w:t>
      </w:r>
    </w:p>
    <w:p w14:paraId="5F0AF96C" w14:textId="77777777" w:rsidR="00E51CA8" w:rsidRDefault="00000000">
      <w:pPr>
        <w:bidi/>
        <w:spacing w:after="0" w:line="480" w:lineRule="auto"/>
        <w:jc w:val="right"/>
        <w:rPr>
          <w:rFonts w:ascii="Times New Roman" w:hAnsi="Times New Roman"/>
          <w:sz w:val="24"/>
          <w:szCs w:val="24"/>
        </w:rPr>
      </w:pPr>
      <w:r>
        <w:rPr>
          <w:rFonts w:ascii="Times New Roman" w:eastAsia="Times New Roman" w:hAnsi="Times New Roman"/>
          <w:sz w:val="24"/>
          <w:szCs w:val="24"/>
          <w:lang w:bidi="fa-IR"/>
        </w:rPr>
        <w:t>‎200 Independence Avenue, SW</w:t>
      </w:r>
    </w:p>
    <w:p w14:paraId="430F9D8B" w14:textId="77777777" w:rsidR="00E51CA8" w:rsidRDefault="00000000">
      <w:pPr>
        <w:bidi/>
        <w:spacing w:after="0" w:line="480" w:lineRule="auto"/>
        <w:jc w:val="right"/>
        <w:rPr>
          <w:rFonts w:ascii="Times New Roman" w:hAnsi="Times New Roman"/>
          <w:sz w:val="24"/>
          <w:szCs w:val="24"/>
        </w:rPr>
      </w:pPr>
      <w:r>
        <w:rPr>
          <w:rFonts w:ascii="Times New Roman" w:eastAsia="Times New Roman" w:hAnsi="Times New Roman"/>
          <w:sz w:val="24"/>
          <w:szCs w:val="24"/>
          <w:lang w:bidi="fa-IR"/>
        </w:rPr>
        <w:t>Room 509F, HHH Building</w:t>
      </w:r>
    </w:p>
    <w:p w14:paraId="491BBA42" w14:textId="77777777" w:rsidR="00E51CA8" w:rsidRDefault="00000000">
      <w:pPr>
        <w:bidi/>
        <w:spacing w:after="0" w:line="480" w:lineRule="auto"/>
        <w:jc w:val="right"/>
        <w:rPr>
          <w:rFonts w:ascii="Times New Roman" w:hAnsi="Times New Roman"/>
          <w:sz w:val="24"/>
          <w:szCs w:val="24"/>
        </w:rPr>
      </w:pPr>
      <w:r>
        <w:rPr>
          <w:rFonts w:ascii="Times New Roman" w:eastAsia="Times New Roman" w:hAnsi="Times New Roman"/>
          <w:sz w:val="24"/>
          <w:szCs w:val="24"/>
          <w:lang w:bidi="fa-IR"/>
        </w:rPr>
        <w:t xml:space="preserve">Washington, D.C. 20201 </w:t>
      </w:r>
    </w:p>
    <w:p w14:paraId="47C54ADF" w14:textId="77777777" w:rsidR="00E51CA8" w:rsidRDefault="00000000">
      <w:pPr>
        <w:bidi/>
        <w:spacing w:after="0" w:line="480" w:lineRule="auto"/>
        <w:jc w:val="right"/>
        <w:rPr>
          <w:rFonts w:ascii="Times New Roman" w:hAnsi="Times New Roman"/>
          <w:sz w:val="24"/>
          <w:szCs w:val="24"/>
        </w:rPr>
      </w:pPr>
      <w:r>
        <w:rPr>
          <w:rFonts w:ascii="Times New Roman" w:eastAsia="Times New Roman" w:hAnsi="Times New Roman"/>
          <w:sz w:val="24"/>
          <w:szCs w:val="24"/>
          <w:lang w:bidi="fa-IR"/>
        </w:rPr>
        <w:t>‎1-800-368-1019, 800-537-7697 (TDD)‎</w:t>
      </w:r>
    </w:p>
    <w:p w14:paraId="76D61F21" w14:textId="77777777" w:rsidR="00E51CA8" w:rsidRDefault="00E51CA8">
      <w:pPr>
        <w:widowControl w:val="0"/>
        <w:autoSpaceDE w:val="0"/>
        <w:autoSpaceDN w:val="0"/>
        <w:bidi/>
        <w:adjustRightInd w:val="0"/>
        <w:spacing w:after="0" w:line="480" w:lineRule="auto"/>
        <w:rPr>
          <w:rFonts w:ascii="Times New Roman" w:hAnsi="Times New Roman"/>
          <w:sz w:val="24"/>
          <w:szCs w:val="24"/>
        </w:rPr>
      </w:pPr>
    </w:p>
    <w:p w14:paraId="0F753831" w14:textId="77777777" w:rsidR="00E51CA8" w:rsidRDefault="00000000">
      <w:pPr>
        <w:widowControl w:val="0"/>
        <w:autoSpaceDE w:val="0"/>
        <w:autoSpaceDN w:val="0"/>
        <w:bidi/>
        <w:adjustRightInd w:val="0"/>
        <w:spacing w:after="0" w:line="480" w:lineRule="auto"/>
        <w:rPr>
          <w:rFonts w:ascii="Times New Roman" w:hAnsi="Times New Roman"/>
          <w:sz w:val="24"/>
          <w:szCs w:val="24"/>
        </w:rPr>
      </w:pPr>
      <w:r>
        <w:rPr>
          <w:rFonts w:ascii="Times New Roman" w:eastAsia="Times New Roman" w:hAnsi="Times New Roman"/>
          <w:sz w:val="24"/>
          <w:szCs w:val="24"/>
          <w:rtl/>
          <w:lang w:bidi="fa-IR"/>
        </w:rPr>
        <w:t xml:space="preserve">فرم‌های شکایت در نشانی </w:t>
      </w:r>
      <w:hyperlink r:id="rId8" w:history="1">
        <w:r>
          <w:rPr>
            <w:rFonts w:ascii="Times New Roman" w:eastAsia="Times New Roman" w:hAnsi="Times New Roman"/>
            <w:color w:val="0000FF"/>
            <w:sz w:val="24"/>
            <w:szCs w:val="24"/>
            <w:u w:val="single"/>
            <w:lang w:bidi="fa-IR"/>
          </w:rPr>
          <w:t>http://www.hhs.gov/ocr/office/file/index.html</w:t>
        </w:r>
      </w:hyperlink>
      <w:r>
        <w:rPr>
          <w:rFonts w:ascii="Times New Roman" w:eastAsia="Times New Roman" w:hAnsi="Times New Roman"/>
          <w:sz w:val="24"/>
          <w:szCs w:val="24"/>
          <w:rtl/>
          <w:lang w:bidi="fa-IR"/>
        </w:rPr>
        <w:t xml:space="preserve"> موجود است.</w:t>
      </w:r>
      <w:r>
        <w:rPr>
          <w:rFonts w:ascii="Times New Roman" w:eastAsia="Times New Roman" w:hAnsi="Times New Roman"/>
          <w:sz w:val="24"/>
          <w:szCs w:val="24"/>
          <w:lang w:bidi="fa-IR"/>
        </w:rPr>
        <w:t xml:space="preserve"> </w:t>
      </w:r>
    </w:p>
    <w:p w14:paraId="1EF96560" w14:textId="77777777" w:rsidR="00E51CA8" w:rsidRDefault="00000000">
      <w:pPr>
        <w:bidi/>
        <w:rPr>
          <w:rFonts w:ascii="Times New Roman" w:hAnsi="Times New Roman"/>
          <w:sz w:val="24"/>
          <w:szCs w:val="24"/>
        </w:rPr>
      </w:pPr>
      <w:r>
        <w:rPr>
          <w:rFonts w:ascii="Times New Roman" w:eastAsia="Times New Roman" w:hAnsi="Times New Roman" w:hint="cs"/>
          <w:b/>
          <w:bCs/>
          <w:sz w:val="24"/>
          <w:szCs w:val="24"/>
          <w:rtl/>
          <w:lang w:bidi="fa-IR"/>
        </w:rPr>
        <w:t xml:space="preserve"> </w:t>
      </w:r>
      <w:r>
        <w:rPr>
          <w:rFonts w:ascii="Times New Roman" w:eastAsia="Times New Roman" w:hAnsi="Times New Roman"/>
          <w:b/>
          <w:bCs/>
          <w:sz w:val="24"/>
          <w:szCs w:val="24"/>
          <w:lang w:bidi="fa-IR"/>
        </w:rPr>
        <w:t xml:space="preserve">If </w:t>
      </w:r>
      <w:proofErr w:type="gramStart"/>
      <w:r>
        <w:rPr>
          <w:rFonts w:ascii="Times New Roman" w:eastAsia="Times New Roman" w:hAnsi="Times New Roman"/>
          <w:b/>
          <w:bCs/>
          <w:sz w:val="24"/>
          <w:szCs w:val="24"/>
          <w:lang w:bidi="fa-IR"/>
        </w:rPr>
        <w:t>applicable</w:t>
      </w:r>
      <w:r>
        <w:rPr>
          <w:rFonts w:ascii="Times New Roman" w:eastAsia="Times New Roman" w:hAnsi="Times New Roman"/>
          <w:sz w:val="24"/>
          <w:szCs w:val="24"/>
          <w:lang w:bidi="fa-IR"/>
        </w:rPr>
        <w:t xml:space="preserve"> ]</w:t>
      </w:r>
      <w:proofErr w:type="gramEnd"/>
      <w:r>
        <w:rPr>
          <w:rFonts w:ascii="Times New Roman" w:eastAsia="Times New Roman" w:hAnsi="Times New Roman"/>
          <w:sz w:val="24"/>
          <w:szCs w:val="24"/>
          <w:lang w:bidi="fa-IR"/>
        </w:rPr>
        <w:t xml:space="preserve"> </w:t>
      </w:r>
      <w:r>
        <w:rPr>
          <w:rFonts w:ascii="Times New Roman" w:eastAsia="Times New Roman" w:hAnsi="Times New Roman" w:hint="cs"/>
          <w:sz w:val="24"/>
          <w:szCs w:val="24"/>
          <w:rtl/>
          <w:lang w:bidi="fa-IR"/>
        </w:rPr>
        <w:t xml:space="preserve"> </w:t>
      </w:r>
      <w:r>
        <w:rPr>
          <w:rFonts w:ascii="Times New Roman" w:eastAsia="Times New Roman" w:hAnsi="Times New Roman"/>
          <w:b/>
          <w:bCs/>
          <w:sz w:val="24"/>
          <w:szCs w:val="24"/>
          <w:lang w:bidi="fa-IR"/>
        </w:rPr>
        <w:t>:</w:t>
      </w:r>
      <w:r>
        <w:rPr>
          <w:rFonts w:ascii="Times New Roman" w:eastAsia="Times New Roman" w:hAnsi="Times New Roman" w:hint="cs"/>
          <w:b/>
          <w:bCs/>
          <w:sz w:val="24"/>
          <w:szCs w:val="24"/>
          <w:rtl/>
          <w:lang w:bidi="fa-IR"/>
        </w:rPr>
        <w:t xml:space="preserve"> </w:t>
      </w:r>
      <w:r>
        <w:rPr>
          <w:rFonts w:ascii="Times New Roman" w:eastAsia="Times New Roman" w:hAnsi="Times New Roman"/>
          <w:sz w:val="24"/>
          <w:szCs w:val="24"/>
          <w:rtl/>
          <w:lang w:bidi="fa-IR"/>
        </w:rPr>
        <w:t>این اطلاعیه در وبسایت [</w:t>
      </w:r>
      <w:r>
        <w:rPr>
          <w:rFonts w:ascii="Times New Roman" w:eastAsia="Times New Roman" w:hAnsi="Times New Roman"/>
          <w:b/>
          <w:bCs/>
          <w:sz w:val="24"/>
          <w:szCs w:val="24"/>
          <w:lang w:bidi="fa-IR"/>
        </w:rPr>
        <w:t>name of covered entity's</w:t>
      </w:r>
      <w:r>
        <w:rPr>
          <w:rFonts w:ascii="Times New Roman" w:eastAsia="Times New Roman" w:hAnsi="Times New Roman"/>
          <w:sz w:val="24"/>
          <w:szCs w:val="24"/>
          <w:rtl/>
          <w:lang w:bidi="fa-IR"/>
        </w:rPr>
        <w:t xml:space="preserve">] در دسترس است: </w:t>
      </w:r>
      <w:r>
        <w:rPr>
          <w:rFonts w:ascii="Times New Roman" w:eastAsia="Times New Roman" w:hAnsi="Times New Roman"/>
          <w:sz w:val="24"/>
          <w:szCs w:val="24"/>
          <w:lang w:bidi="fa-IR"/>
        </w:rPr>
        <w:t>[</w:t>
      </w:r>
      <w:r>
        <w:rPr>
          <w:rFonts w:ascii="Times New Roman" w:eastAsia="Times New Roman" w:hAnsi="Times New Roman"/>
          <w:b/>
          <w:bCs/>
          <w:sz w:val="24"/>
          <w:szCs w:val="24"/>
          <w:lang w:bidi="fa-IR"/>
        </w:rPr>
        <w:t>insert covered entity’s URL</w:t>
      </w:r>
      <w:r>
        <w:rPr>
          <w:rFonts w:ascii="Times New Roman" w:eastAsia="Times New Roman" w:hAnsi="Times New Roman"/>
          <w:sz w:val="24"/>
          <w:szCs w:val="24"/>
          <w:lang w:bidi="fa-IR"/>
        </w:rPr>
        <w:t xml:space="preserve">]]. </w:t>
      </w:r>
    </w:p>
    <w:p w14:paraId="60B2E8D8" w14:textId="77777777" w:rsidR="00E51CA8" w:rsidRDefault="00E51CA8"/>
    <w:sectPr w:rsidR="00E51CA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07053" w14:textId="77777777" w:rsidR="00694704" w:rsidRDefault="00694704">
      <w:pPr>
        <w:spacing w:after="0" w:line="240" w:lineRule="auto"/>
      </w:pPr>
      <w:r>
        <w:separator/>
      </w:r>
    </w:p>
  </w:endnote>
  <w:endnote w:type="continuationSeparator" w:id="0">
    <w:p w14:paraId="75F17B36" w14:textId="77777777" w:rsidR="00694704" w:rsidRDefault="00694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37B57" w14:textId="77777777" w:rsidR="00694704" w:rsidRDefault="00694704">
      <w:pPr>
        <w:spacing w:after="0" w:line="240" w:lineRule="auto"/>
        <w:jc w:val="right"/>
      </w:pPr>
      <w:r>
        <w:separator/>
      </w:r>
    </w:p>
  </w:footnote>
  <w:footnote w:type="continuationSeparator" w:id="0">
    <w:p w14:paraId="7626102D" w14:textId="77777777" w:rsidR="00694704" w:rsidRDefault="00694704">
      <w:pPr>
        <w:spacing w:after="0" w:line="240" w:lineRule="auto"/>
      </w:pPr>
      <w:r>
        <w:continuationSeparator/>
      </w:r>
    </w:p>
  </w:footnote>
  <w:footnote w:id="1">
    <w:p w14:paraId="5F49E67F" w14:textId="77777777" w:rsidR="00E51CA8" w:rsidRDefault="00000000">
      <w:pPr>
        <w:pStyle w:val="FootnoteText"/>
        <w:rPr>
          <w:b/>
          <w:bCs/>
        </w:rPr>
      </w:pPr>
      <w:r>
        <w:rPr>
          <w:rStyle w:val="FootnoteReference"/>
          <w:b/>
          <w:bCs/>
        </w:rPr>
        <w:footnoteRef/>
      </w:r>
      <w:r>
        <w:rPr>
          <w:b/>
          <w:bCs/>
        </w:rPr>
        <w:t xml:space="preserve"> </w:t>
      </w:r>
      <w:r>
        <w:rPr>
          <w:rFonts w:ascii="Times New Roman" w:hAnsi="Times New Roman"/>
          <w:b/>
          <w:bCs/>
        </w:rPr>
        <w:t>This language/approach is not required under Section 1557 regulations.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501A2"/>
    <w:multiLevelType w:val="hybridMultilevel"/>
    <w:tmpl w:val="4CF6090A"/>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2C06245F"/>
    <w:multiLevelType w:val="hybridMultilevel"/>
    <w:tmpl w:val="74B25C8A"/>
    <w:lvl w:ilvl="0" w:tplc="04090003">
      <w:start w:val="1"/>
      <w:numFmt w:val="bullet"/>
      <w:lvlText w:val="o"/>
      <w:lvlJc w:val="left"/>
      <w:pPr>
        <w:ind w:left="3240" w:hanging="360"/>
      </w:pPr>
      <w:rPr>
        <w:rFonts w:ascii="Courier New" w:hAnsi="Courier New" w:cs="Courier New" w:hint="default"/>
      </w:rPr>
    </w:lvl>
    <w:lvl w:ilvl="1" w:tplc="A84AAF76">
      <w:numFmt w:val="bullet"/>
      <w:lvlText w:val="•"/>
      <w:lvlJc w:val="left"/>
      <w:pPr>
        <w:ind w:left="3960" w:hanging="360"/>
      </w:pPr>
      <w:rPr>
        <w:rFonts w:ascii="Arial" w:eastAsia="Times New Roman" w:hAnsi="Arial" w:cs="Arial"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337721E0"/>
    <w:multiLevelType w:val="hybridMultilevel"/>
    <w:tmpl w:val="84EAAF22"/>
    <w:lvl w:ilvl="0" w:tplc="B630C30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4A70B9D"/>
    <w:multiLevelType w:val="hybridMultilevel"/>
    <w:tmpl w:val="64A2F008"/>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4" w15:restartNumberingAfterBreak="0">
    <w:nsid w:val="4AF024D2"/>
    <w:multiLevelType w:val="hybridMultilevel"/>
    <w:tmpl w:val="87F0A176"/>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5" w15:restartNumberingAfterBreak="0">
    <w:nsid w:val="5F80789D"/>
    <w:multiLevelType w:val="hybridMultilevel"/>
    <w:tmpl w:val="7FA0B402"/>
    <w:lvl w:ilvl="0" w:tplc="04090003">
      <w:start w:val="1"/>
      <w:numFmt w:val="bullet"/>
      <w:lvlText w:val="o"/>
      <w:lvlJc w:val="left"/>
      <w:pPr>
        <w:ind w:left="1446" w:hanging="360"/>
      </w:pPr>
      <w:rPr>
        <w:rFonts w:ascii="Courier New" w:hAnsi="Courier New" w:cs="Courier New" w:hint="default"/>
      </w:rPr>
    </w:lvl>
    <w:lvl w:ilvl="1" w:tplc="FFFFFFFF">
      <w:start w:val="1"/>
      <w:numFmt w:val="bullet"/>
      <w:lvlText w:val="o"/>
      <w:lvlJc w:val="left"/>
      <w:pPr>
        <w:ind w:left="2166" w:hanging="360"/>
      </w:pPr>
      <w:rPr>
        <w:rFonts w:ascii="Courier New" w:hAnsi="Courier New" w:cs="Courier New" w:hint="default"/>
      </w:rPr>
    </w:lvl>
    <w:lvl w:ilvl="2" w:tplc="FFFFFFFF" w:tentative="1">
      <w:start w:val="1"/>
      <w:numFmt w:val="bullet"/>
      <w:lvlText w:val=""/>
      <w:lvlJc w:val="left"/>
      <w:pPr>
        <w:ind w:left="2886" w:hanging="360"/>
      </w:pPr>
      <w:rPr>
        <w:rFonts w:ascii="Wingdings" w:hAnsi="Wingdings" w:hint="default"/>
      </w:rPr>
    </w:lvl>
    <w:lvl w:ilvl="3" w:tplc="FFFFFFFF" w:tentative="1">
      <w:start w:val="1"/>
      <w:numFmt w:val="bullet"/>
      <w:lvlText w:val=""/>
      <w:lvlJc w:val="left"/>
      <w:pPr>
        <w:ind w:left="3606" w:hanging="360"/>
      </w:pPr>
      <w:rPr>
        <w:rFonts w:ascii="Symbol" w:hAnsi="Symbol" w:hint="default"/>
      </w:rPr>
    </w:lvl>
    <w:lvl w:ilvl="4" w:tplc="FFFFFFFF" w:tentative="1">
      <w:start w:val="1"/>
      <w:numFmt w:val="bullet"/>
      <w:lvlText w:val="o"/>
      <w:lvlJc w:val="left"/>
      <w:pPr>
        <w:ind w:left="4326" w:hanging="360"/>
      </w:pPr>
      <w:rPr>
        <w:rFonts w:ascii="Courier New" w:hAnsi="Courier New" w:cs="Courier New" w:hint="default"/>
      </w:rPr>
    </w:lvl>
    <w:lvl w:ilvl="5" w:tplc="FFFFFFFF" w:tentative="1">
      <w:start w:val="1"/>
      <w:numFmt w:val="bullet"/>
      <w:lvlText w:val=""/>
      <w:lvlJc w:val="left"/>
      <w:pPr>
        <w:ind w:left="5046" w:hanging="360"/>
      </w:pPr>
      <w:rPr>
        <w:rFonts w:ascii="Wingdings" w:hAnsi="Wingdings" w:hint="default"/>
      </w:rPr>
    </w:lvl>
    <w:lvl w:ilvl="6" w:tplc="FFFFFFFF" w:tentative="1">
      <w:start w:val="1"/>
      <w:numFmt w:val="bullet"/>
      <w:lvlText w:val=""/>
      <w:lvlJc w:val="left"/>
      <w:pPr>
        <w:ind w:left="5766" w:hanging="360"/>
      </w:pPr>
      <w:rPr>
        <w:rFonts w:ascii="Symbol" w:hAnsi="Symbol" w:hint="default"/>
      </w:rPr>
    </w:lvl>
    <w:lvl w:ilvl="7" w:tplc="FFFFFFFF" w:tentative="1">
      <w:start w:val="1"/>
      <w:numFmt w:val="bullet"/>
      <w:lvlText w:val="o"/>
      <w:lvlJc w:val="left"/>
      <w:pPr>
        <w:ind w:left="6486" w:hanging="360"/>
      </w:pPr>
      <w:rPr>
        <w:rFonts w:ascii="Courier New" w:hAnsi="Courier New" w:cs="Courier New" w:hint="default"/>
      </w:rPr>
    </w:lvl>
    <w:lvl w:ilvl="8" w:tplc="FFFFFFFF" w:tentative="1">
      <w:start w:val="1"/>
      <w:numFmt w:val="bullet"/>
      <w:lvlText w:val=""/>
      <w:lvlJc w:val="left"/>
      <w:pPr>
        <w:ind w:left="7206" w:hanging="360"/>
      </w:pPr>
      <w:rPr>
        <w:rFonts w:ascii="Wingdings" w:hAnsi="Wingdings" w:hint="default"/>
      </w:rPr>
    </w:lvl>
  </w:abstractNum>
  <w:num w:numId="1" w16cid:durableId="306056013">
    <w:abstractNumId w:val="3"/>
  </w:num>
  <w:num w:numId="2" w16cid:durableId="248974218">
    <w:abstractNumId w:val="2"/>
  </w:num>
  <w:num w:numId="3" w16cid:durableId="1242443092">
    <w:abstractNumId w:val="0"/>
  </w:num>
  <w:num w:numId="4" w16cid:durableId="838157907">
    <w:abstractNumId w:val="1"/>
  </w:num>
  <w:num w:numId="5" w16cid:durableId="630670031">
    <w:abstractNumId w:val="4"/>
  </w:num>
  <w:num w:numId="6" w16cid:durableId="17047503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CA8"/>
    <w:rsid w:val="00694704"/>
    <w:rsid w:val="00E12654"/>
    <w:rsid w:val="00E51C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01CC9"/>
  <w15:chartTrackingRefBased/>
  <w15:docId w15:val="{AEA81C99-95C5-1545-846F-AE945F888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E12654"/>
    <w:pPr>
      <w:widowControl w:val="0"/>
      <w:autoSpaceDE w:val="0"/>
      <w:autoSpaceDN w:val="0"/>
      <w:bidi/>
      <w:adjustRightInd w:val="0"/>
      <w:spacing w:after="0" w:line="480" w:lineRule="auto"/>
      <w:outlineLvl w:val="0"/>
    </w:pPr>
    <w:rPr>
      <w:rFonts w:ascii="Times New Roman" w:hAnsi="Times New Roman"/>
      <w:b/>
      <w:bCs/>
      <w:sz w:val="24"/>
      <w:szCs w:val="24"/>
    </w:rPr>
  </w:style>
  <w:style w:type="paragraph" w:styleId="Heading2">
    <w:name w:val="heading 2"/>
    <w:basedOn w:val="Normal"/>
    <w:next w:val="Normal"/>
    <w:link w:val="Heading2Char"/>
    <w:uiPriority w:val="9"/>
    <w:semiHidden/>
    <w:unhideWhenUsed/>
    <w:qFormat/>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pPr>
      <w:keepNext/>
      <w:keepLines/>
      <w:spacing w:before="160" w:after="80" w:line="240"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pPr>
      <w:keepNext/>
      <w:keepLines/>
      <w:spacing w:before="80" w:after="40" w:line="240"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pPr>
      <w:keepNext/>
      <w:keepLines/>
      <w:spacing w:before="80" w:after="40" w:line="240"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pPr>
      <w:keepNext/>
      <w:keepLines/>
      <w:spacing w:before="40" w:after="0" w:line="240"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pPr>
      <w:keepNext/>
      <w:keepLines/>
      <w:spacing w:before="40" w:after="0" w:line="240"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pPr>
      <w:keepNext/>
      <w:keepLines/>
      <w:spacing w:after="0" w:line="240"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pPr>
      <w:keepNext/>
      <w:keepLines/>
      <w:spacing w:after="0" w:line="240"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2654"/>
    <w:rPr>
      <w:rFonts w:ascii="Times New Roman" w:eastAsia="Calibri" w:hAnsi="Times New Roman" w:cs="Times New Roman"/>
      <w:b/>
      <w:bCs/>
      <w:kern w:val="0"/>
      <w14:ligatures w14:val="none"/>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Pr>
      <w:rFonts w:eastAsiaTheme="majorEastAsia" w:cstheme="majorBidi"/>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spacing w:after="160" w:line="240"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line="240"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spacing w:after="0" w:line="240"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kern w:val="0"/>
      <w:sz w:val="20"/>
      <w:szCs w:val="20"/>
      <w:lang w:val="en-US"/>
      <w14:ligatures w14:val="none"/>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hs.gov/ocr/office/file/index.html" TargetMode="External"/><Relationship Id="rId3" Type="http://schemas.openxmlformats.org/officeDocument/2006/relationships/settings" Target="settings.xml"/><Relationship Id="rId7" Type="http://schemas.openxmlformats.org/officeDocument/2006/relationships/hyperlink" Target="https://ocrportal.hhs.gov/ocr/portal/lobby.js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2391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Notice of Accessibility - Farsi</vt:lpstr>
    </vt:vector>
  </TitlesOfParts>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Accessibility - Farsi</dc:title>
  <dc:subject/>
  <dc:creator>HHS/OCR</dc:creator>
  <cp:keywords/>
  <dc:description/>
  <cp:lastModifiedBy>Sweeney, Kate (OS/OCIO/OES)</cp:lastModifiedBy>
  <cp:revision>2</cp:revision>
  <cp:lastPrinted>2024-04-05T09:46:00Z</cp:lastPrinted>
  <dcterms:created xsi:type="dcterms:W3CDTF">2024-04-23T19:50:00Z</dcterms:created>
  <dcterms:modified xsi:type="dcterms:W3CDTF">2024-04-23T19:50:00Z</dcterms:modified>
</cp:coreProperties>
</file>