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1AC3A" w14:textId="20BF1ADD" w:rsidR="00A84021" w:rsidRPr="00D271E6" w:rsidRDefault="00340CBC" w:rsidP="003F0290">
      <w:pPr>
        <w:rPr>
          <w:rFonts w:cs="Calibri"/>
          <w:b/>
          <w:sz w:val="32"/>
          <w:szCs w:val="32"/>
        </w:rPr>
      </w:pPr>
      <w:bookmarkStart w:id="0" w:name="_Toc212105199"/>
      <w:r w:rsidRPr="00D271E6">
        <w:rPr>
          <w:rFonts w:cs="Calibri"/>
          <w:b/>
          <w:sz w:val="32"/>
          <w:szCs w:val="32"/>
        </w:rPr>
        <w:t>OMHA Case Processing Manual</w:t>
      </w:r>
      <w:bookmarkEnd w:id="0"/>
    </w:p>
    <w:p w14:paraId="7DEE2F6F" w14:textId="360CC416" w:rsidR="006D7C2E" w:rsidRPr="008F75D4" w:rsidRDefault="00A84021" w:rsidP="008F75D4">
      <w:pPr>
        <w:tabs>
          <w:tab w:val="left" w:pos="2160"/>
        </w:tabs>
        <w:spacing w:after="600"/>
        <w:ind w:left="2160" w:hanging="2160"/>
        <w:rPr>
          <w:rFonts w:cs="Calibri"/>
          <w:b/>
          <w:sz w:val="40"/>
          <w:szCs w:val="40"/>
        </w:rPr>
      </w:pPr>
      <w:r w:rsidRPr="00D271E6">
        <w:rPr>
          <w:rFonts w:cs="Calibri"/>
          <w:b/>
          <w:sz w:val="40"/>
          <w:szCs w:val="40"/>
        </w:rPr>
        <w:t>Chapter 1</w:t>
      </w:r>
      <w:r w:rsidRPr="00D271E6">
        <w:rPr>
          <w:rFonts w:cs="Calibri"/>
          <w:b/>
          <w:sz w:val="40"/>
          <w:szCs w:val="40"/>
        </w:rPr>
        <w:tab/>
      </w:r>
      <w:r w:rsidRPr="00D271E6">
        <w:rPr>
          <w:rFonts w:cs="Calibri"/>
          <w:b/>
          <w:caps/>
          <w:sz w:val="40"/>
          <w:szCs w:val="40"/>
        </w:rPr>
        <w:t>Manual overview, definition, AND governance</w:t>
      </w:r>
    </w:p>
    <w:p w14:paraId="7DF9A079" w14:textId="3DE24781" w:rsidR="003F0290" w:rsidRDefault="00B86858">
      <w:pPr>
        <w:pStyle w:val="TOC2"/>
        <w:tabs>
          <w:tab w:val="left" w:pos="720"/>
          <w:tab w:val="right" w:leader="dot" w:pos="9350"/>
        </w:tabs>
        <w:rPr>
          <w:rFonts w:asciiTheme="minorHAnsi" w:eastAsiaTheme="minorEastAsia" w:hAnsiTheme="minorHAnsi"/>
          <w:noProof/>
          <w:sz w:val="24"/>
          <w:szCs w:val="24"/>
        </w:rPr>
      </w:pPr>
      <w:r w:rsidRPr="00D271E6">
        <w:rPr>
          <w:rFonts w:cs="Calibri"/>
        </w:rPr>
        <w:fldChar w:fldCharType="begin"/>
      </w:r>
      <w:r w:rsidRPr="00D271E6">
        <w:rPr>
          <w:rFonts w:cs="Calibri"/>
        </w:rPr>
        <w:instrText xml:space="preserve"> TOC \o "1-2" \h \z \u </w:instrText>
      </w:r>
      <w:r w:rsidRPr="00D271E6">
        <w:rPr>
          <w:rFonts w:cs="Calibri"/>
        </w:rPr>
        <w:fldChar w:fldCharType="separate"/>
      </w:r>
      <w:hyperlink w:anchor="_Toc237517474" w:history="1">
        <w:r w:rsidR="003F0290" w:rsidRPr="0015412D">
          <w:rPr>
            <w:rStyle w:val="Hyperlink"/>
            <w:rFonts w:cs="Calibri"/>
            <w:noProof/>
          </w:rPr>
          <w:t xml:space="preserve">1.0 </w:t>
        </w:r>
        <w:r w:rsidR="003F0290">
          <w:rPr>
            <w:rFonts w:asciiTheme="minorHAnsi" w:eastAsiaTheme="minorEastAsia" w:hAnsiTheme="minorHAnsi"/>
            <w:noProof/>
            <w:sz w:val="24"/>
            <w:szCs w:val="24"/>
          </w:rPr>
          <w:tab/>
        </w:r>
        <w:r w:rsidR="003F0290" w:rsidRPr="0015412D">
          <w:rPr>
            <w:rStyle w:val="Hyperlink"/>
            <w:rFonts w:cs="Calibri"/>
            <w:noProof/>
          </w:rPr>
          <w:t>Chapter overview</w:t>
        </w:r>
        <w:r w:rsidR="003F0290">
          <w:rPr>
            <w:noProof/>
            <w:webHidden/>
          </w:rPr>
          <w:tab/>
        </w:r>
        <w:r w:rsidR="003F0290">
          <w:rPr>
            <w:noProof/>
            <w:webHidden/>
          </w:rPr>
          <w:fldChar w:fldCharType="begin"/>
        </w:r>
        <w:r w:rsidR="003F0290">
          <w:rPr>
            <w:noProof/>
            <w:webHidden/>
          </w:rPr>
          <w:instrText xml:space="preserve"> PAGEREF _Toc237517474 \h </w:instrText>
        </w:r>
        <w:r w:rsidR="003F0290">
          <w:rPr>
            <w:noProof/>
            <w:webHidden/>
          </w:rPr>
        </w:r>
        <w:r w:rsidR="003F0290">
          <w:rPr>
            <w:noProof/>
            <w:webHidden/>
          </w:rPr>
          <w:fldChar w:fldCharType="separate"/>
        </w:r>
        <w:r w:rsidR="003F0290">
          <w:rPr>
            <w:noProof/>
            <w:webHidden/>
          </w:rPr>
          <w:t>1</w:t>
        </w:r>
        <w:r w:rsidR="003F0290">
          <w:rPr>
            <w:noProof/>
            <w:webHidden/>
          </w:rPr>
          <w:fldChar w:fldCharType="end"/>
        </w:r>
      </w:hyperlink>
    </w:p>
    <w:p w14:paraId="6C8E4CF2" w14:textId="5AE3BE82" w:rsidR="003F0290" w:rsidRDefault="003F0290">
      <w:pPr>
        <w:pStyle w:val="TOC2"/>
        <w:tabs>
          <w:tab w:val="left" w:pos="720"/>
          <w:tab w:val="right" w:leader="dot" w:pos="9350"/>
        </w:tabs>
        <w:rPr>
          <w:rFonts w:asciiTheme="minorHAnsi" w:eastAsiaTheme="minorEastAsia" w:hAnsiTheme="minorHAnsi"/>
          <w:noProof/>
          <w:sz w:val="24"/>
          <w:szCs w:val="24"/>
        </w:rPr>
      </w:pPr>
      <w:hyperlink w:anchor="_Toc237517475" w:history="1">
        <w:r w:rsidRPr="0015412D">
          <w:rPr>
            <w:rStyle w:val="Hyperlink"/>
            <w:rFonts w:cs="Calibri"/>
            <w:noProof/>
          </w:rPr>
          <w:t>1.1</w:t>
        </w:r>
        <w:r>
          <w:rPr>
            <w:rFonts w:asciiTheme="minorHAnsi" w:eastAsiaTheme="minorEastAsia" w:hAnsiTheme="minorHAnsi"/>
            <w:noProof/>
            <w:sz w:val="24"/>
            <w:szCs w:val="24"/>
          </w:rPr>
          <w:tab/>
        </w:r>
        <w:r w:rsidRPr="0015412D">
          <w:rPr>
            <w:rStyle w:val="Hyperlink"/>
            <w:rFonts w:cs="Calibri"/>
            <w:noProof/>
          </w:rPr>
          <w:t>Purpose and organization</w:t>
        </w:r>
        <w:r>
          <w:rPr>
            <w:noProof/>
            <w:webHidden/>
          </w:rPr>
          <w:tab/>
        </w:r>
        <w:r>
          <w:rPr>
            <w:noProof/>
            <w:webHidden/>
          </w:rPr>
          <w:fldChar w:fldCharType="begin"/>
        </w:r>
        <w:r>
          <w:rPr>
            <w:noProof/>
            <w:webHidden/>
          </w:rPr>
          <w:instrText xml:space="preserve"> PAGEREF _Toc237517475 \h </w:instrText>
        </w:r>
        <w:r>
          <w:rPr>
            <w:noProof/>
            <w:webHidden/>
          </w:rPr>
        </w:r>
        <w:r>
          <w:rPr>
            <w:noProof/>
            <w:webHidden/>
          </w:rPr>
          <w:fldChar w:fldCharType="separate"/>
        </w:r>
        <w:r>
          <w:rPr>
            <w:noProof/>
            <w:webHidden/>
          </w:rPr>
          <w:t>2</w:t>
        </w:r>
        <w:r>
          <w:rPr>
            <w:noProof/>
            <w:webHidden/>
          </w:rPr>
          <w:fldChar w:fldCharType="end"/>
        </w:r>
      </w:hyperlink>
    </w:p>
    <w:p w14:paraId="2A2ADE05" w14:textId="08877E8D" w:rsidR="003F0290" w:rsidRPr="003F0290" w:rsidRDefault="003F0290">
      <w:pPr>
        <w:pStyle w:val="TOC1"/>
        <w:tabs>
          <w:tab w:val="left" w:pos="720"/>
          <w:tab w:val="right" w:leader="dot" w:pos="9350"/>
        </w:tabs>
        <w:rPr>
          <w:rFonts w:asciiTheme="minorHAnsi" w:eastAsiaTheme="minorEastAsia" w:hAnsiTheme="minorHAnsi"/>
          <w:noProof/>
          <w:sz w:val="24"/>
          <w:szCs w:val="24"/>
        </w:rPr>
      </w:pPr>
      <w:hyperlink w:anchor="_Toc237517476" w:history="1">
        <w:r w:rsidRPr="003F0290">
          <w:rPr>
            <w:rStyle w:val="Hyperlink"/>
            <w:rFonts w:cs="Calibri"/>
            <w:noProof/>
          </w:rPr>
          <w:t>1.2</w:t>
        </w:r>
        <w:r w:rsidRPr="003F0290">
          <w:rPr>
            <w:rFonts w:asciiTheme="minorHAnsi" w:eastAsiaTheme="minorEastAsia" w:hAnsiTheme="minorHAnsi"/>
            <w:noProof/>
            <w:sz w:val="24"/>
            <w:szCs w:val="24"/>
          </w:rPr>
          <w:tab/>
        </w:r>
        <w:r w:rsidRPr="003F0290">
          <w:rPr>
            <w:rStyle w:val="Hyperlink"/>
            <w:rFonts w:cs="Calibri"/>
            <w:noProof/>
          </w:rPr>
          <w:t>Using the OCPM</w:t>
        </w:r>
        <w:r w:rsidRPr="003F0290">
          <w:rPr>
            <w:noProof/>
            <w:webHidden/>
          </w:rPr>
          <w:tab/>
        </w:r>
        <w:r w:rsidRPr="003F0290">
          <w:rPr>
            <w:noProof/>
            <w:webHidden/>
          </w:rPr>
          <w:fldChar w:fldCharType="begin"/>
        </w:r>
        <w:r w:rsidRPr="003F0290">
          <w:rPr>
            <w:noProof/>
            <w:webHidden/>
          </w:rPr>
          <w:instrText xml:space="preserve"> PAGEREF _Toc237517476 \h </w:instrText>
        </w:r>
        <w:r w:rsidRPr="003F0290">
          <w:rPr>
            <w:noProof/>
            <w:webHidden/>
          </w:rPr>
        </w:r>
        <w:r w:rsidRPr="003F0290">
          <w:rPr>
            <w:noProof/>
            <w:webHidden/>
          </w:rPr>
          <w:fldChar w:fldCharType="separate"/>
        </w:r>
        <w:r w:rsidRPr="003F0290">
          <w:rPr>
            <w:noProof/>
            <w:webHidden/>
          </w:rPr>
          <w:t>3</w:t>
        </w:r>
        <w:r w:rsidRPr="003F0290">
          <w:rPr>
            <w:noProof/>
            <w:webHidden/>
          </w:rPr>
          <w:fldChar w:fldCharType="end"/>
        </w:r>
      </w:hyperlink>
    </w:p>
    <w:p w14:paraId="49943444" w14:textId="3B5F7386" w:rsidR="003F0290" w:rsidRPr="003F0290" w:rsidRDefault="003F0290">
      <w:pPr>
        <w:pStyle w:val="TOC1"/>
        <w:tabs>
          <w:tab w:val="left" w:pos="720"/>
          <w:tab w:val="right" w:leader="dot" w:pos="9350"/>
        </w:tabs>
        <w:rPr>
          <w:rFonts w:asciiTheme="minorHAnsi" w:eastAsiaTheme="minorEastAsia" w:hAnsiTheme="minorHAnsi"/>
          <w:noProof/>
          <w:sz w:val="24"/>
          <w:szCs w:val="24"/>
        </w:rPr>
      </w:pPr>
      <w:hyperlink w:anchor="_Toc237517477" w:history="1">
        <w:r w:rsidRPr="003F0290">
          <w:rPr>
            <w:rStyle w:val="Hyperlink"/>
            <w:rFonts w:cs="Calibri"/>
            <w:noProof/>
          </w:rPr>
          <w:t>1.3</w:t>
        </w:r>
        <w:r w:rsidRPr="003F0290">
          <w:rPr>
            <w:rFonts w:asciiTheme="minorHAnsi" w:eastAsiaTheme="minorEastAsia" w:hAnsiTheme="minorHAnsi"/>
            <w:noProof/>
            <w:sz w:val="24"/>
            <w:szCs w:val="24"/>
          </w:rPr>
          <w:tab/>
        </w:r>
        <w:r w:rsidRPr="003F0290">
          <w:rPr>
            <w:rStyle w:val="Hyperlink"/>
            <w:rFonts w:cs="Calibri"/>
            <w:noProof/>
          </w:rPr>
          <w:t>Acronyms, abbreviations, citations, and terminology</w:t>
        </w:r>
        <w:r w:rsidRPr="003F0290">
          <w:rPr>
            <w:noProof/>
            <w:webHidden/>
          </w:rPr>
          <w:tab/>
        </w:r>
        <w:r w:rsidRPr="003F0290">
          <w:rPr>
            <w:noProof/>
            <w:webHidden/>
          </w:rPr>
          <w:fldChar w:fldCharType="begin"/>
        </w:r>
        <w:r w:rsidRPr="003F0290">
          <w:rPr>
            <w:noProof/>
            <w:webHidden/>
          </w:rPr>
          <w:instrText xml:space="preserve"> PAGEREF _Toc237517477 \h </w:instrText>
        </w:r>
        <w:r w:rsidRPr="003F0290">
          <w:rPr>
            <w:noProof/>
            <w:webHidden/>
          </w:rPr>
        </w:r>
        <w:r w:rsidRPr="003F0290">
          <w:rPr>
            <w:noProof/>
            <w:webHidden/>
          </w:rPr>
          <w:fldChar w:fldCharType="separate"/>
        </w:r>
        <w:r w:rsidRPr="003F0290">
          <w:rPr>
            <w:noProof/>
            <w:webHidden/>
          </w:rPr>
          <w:t>5</w:t>
        </w:r>
        <w:r w:rsidRPr="003F0290">
          <w:rPr>
            <w:noProof/>
            <w:webHidden/>
          </w:rPr>
          <w:fldChar w:fldCharType="end"/>
        </w:r>
      </w:hyperlink>
    </w:p>
    <w:p w14:paraId="55A5F55C" w14:textId="3AF05040" w:rsidR="003F0290" w:rsidRPr="003F0290" w:rsidRDefault="003F0290">
      <w:pPr>
        <w:pStyle w:val="TOC1"/>
        <w:tabs>
          <w:tab w:val="left" w:pos="720"/>
          <w:tab w:val="right" w:leader="dot" w:pos="9350"/>
        </w:tabs>
        <w:rPr>
          <w:rFonts w:asciiTheme="minorHAnsi" w:eastAsiaTheme="minorEastAsia" w:hAnsiTheme="minorHAnsi"/>
          <w:noProof/>
          <w:sz w:val="24"/>
          <w:szCs w:val="24"/>
        </w:rPr>
      </w:pPr>
      <w:hyperlink w:anchor="_Toc237517478" w:history="1">
        <w:r w:rsidRPr="003F0290">
          <w:rPr>
            <w:rStyle w:val="Hyperlink"/>
            <w:rFonts w:cs="Calibri"/>
            <w:noProof/>
          </w:rPr>
          <w:t>1.4</w:t>
        </w:r>
        <w:r w:rsidRPr="003F0290">
          <w:rPr>
            <w:rFonts w:asciiTheme="minorHAnsi" w:eastAsiaTheme="minorEastAsia" w:hAnsiTheme="minorHAnsi"/>
            <w:noProof/>
            <w:sz w:val="24"/>
            <w:szCs w:val="24"/>
          </w:rPr>
          <w:tab/>
        </w:r>
        <w:r w:rsidRPr="003F0290">
          <w:rPr>
            <w:rStyle w:val="Hyperlink"/>
            <w:rFonts w:cs="Calibri"/>
            <w:noProof/>
          </w:rPr>
          <w:t>Updating the OCPM</w:t>
        </w:r>
        <w:r w:rsidRPr="003F0290">
          <w:rPr>
            <w:noProof/>
            <w:webHidden/>
          </w:rPr>
          <w:tab/>
        </w:r>
        <w:r w:rsidRPr="003F0290">
          <w:rPr>
            <w:noProof/>
            <w:webHidden/>
          </w:rPr>
          <w:fldChar w:fldCharType="begin"/>
        </w:r>
        <w:r w:rsidRPr="003F0290">
          <w:rPr>
            <w:noProof/>
            <w:webHidden/>
          </w:rPr>
          <w:instrText xml:space="preserve"> PAGEREF _Toc237517478 \h </w:instrText>
        </w:r>
        <w:r w:rsidRPr="003F0290">
          <w:rPr>
            <w:noProof/>
            <w:webHidden/>
          </w:rPr>
        </w:r>
        <w:r w:rsidRPr="003F0290">
          <w:rPr>
            <w:noProof/>
            <w:webHidden/>
          </w:rPr>
          <w:fldChar w:fldCharType="separate"/>
        </w:r>
        <w:r w:rsidRPr="003F0290">
          <w:rPr>
            <w:noProof/>
            <w:webHidden/>
          </w:rPr>
          <w:t>9</w:t>
        </w:r>
        <w:r w:rsidRPr="003F0290">
          <w:rPr>
            <w:noProof/>
            <w:webHidden/>
          </w:rPr>
          <w:fldChar w:fldCharType="end"/>
        </w:r>
      </w:hyperlink>
    </w:p>
    <w:p w14:paraId="72BD3497" w14:textId="014026C8" w:rsidR="00EE2F3E" w:rsidRPr="00D271E6" w:rsidRDefault="00B86858">
      <w:pPr>
        <w:rPr>
          <w:rFonts w:cs="Calibri"/>
        </w:rPr>
      </w:pPr>
      <w:r w:rsidRPr="00D271E6">
        <w:rPr>
          <w:rFonts w:cs="Calibri"/>
        </w:rPr>
        <w:fldChar w:fldCharType="end"/>
      </w:r>
    </w:p>
    <w:p w14:paraId="522BE9F4" w14:textId="0D490749" w:rsidR="00EE2F3E" w:rsidRPr="00D271E6" w:rsidRDefault="00620EB5" w:rsidP="008F75D4">
      <w:pPr>
        <w:pStyle w:val="Heading2"/>
        <w:numPr>
          <w:ilvl w:val="0"/>
          <w:numId w:val="0"/>
        </w:numPr>
        <w:ind w:left="1080" w:hanging="1080"/>
        <w:rPr>
          <w:rFonts w:cs="Calibri"/>
        </w:rPr>
      </w:pPr>
      <w:bookmarkStart w:id="1" w:name="_Toc237517474"/>
      <w:r w:rsidRPr="00D271E6">
        <w:rPr>
          <w:rFonts w:cs="Calibri"/>
        </w:rPr>
        <w:t xml:space="preserve">1.0 </w:t>
      </w:r>
      <w:r w:rsidR="00192E4A">
        <w:rPr>
          <w:rFonts w:cs="Calibri"/>
        </w:rPr>
        <w:tab/>
      </w:r>
      <w:r w:rsidR="00012973" w:rsidRPr="00D271E6">
        <w:rPr>
          <w:rFonts w:cs="Calibri"/>
        </w:rPr>
        <w:t>Chapter overview</w:t>
      </w:r>
      <w:bookmarkEnd w:id="1"/>
    </w:p>
    <w:p w14:paraId="311D6721" w14:textId="77777777" w:rsidR="00C62668" w:rsidRPr="00D271E6" w:rsidRDefault="00C62668" w:rsidP="00C62668">
      <w:pPr>
        <w:keepNext/>
        <w:spacing w:after="180"/>
        <w:rPr>
          <w:rFonts w:cs="Calibri"/>
          <w:szCs w:val="26"/>
        </w:rPr>
      </w:pPr>
      <w:r w:rsidRPr="00D271E6">
        <w:rPr>
          <w:rFonts w:cs="Calibri"/>
          <w:szCs w:val="26"/>
        </w:rPr>
        <w:t>(Issued: 05-25-18, Effective: 05-25-18)</w:t>
      </w:r>
    </w:p>
    <w:p w14:paraId="0B98BA65" w14:textId="77777777" w:rsidR="00005D28" w:rsidRPr="00D271E6" w:rsidRDefault="00005D28" w:rsidP="00005D28">
      <w:pPr>
        <w:rPr>
          <w:rFonts w:cs="Calibri"/>
          <w:noProof/>
          <w:szCs w:val="26"/>
        </w:rPr>
      </w:pPr>
      <w:r w:rsidRPr="00D271E6">
        <w:rPr>
          <w:rFonts w:cs="Calibri"/>
          <w:noProof/>
          <w:szCs w:val="26"/>
        </w:rPr>
        <w:t>This chapter describes the OCPM’s purpose and organization. It also describes how to navigate the OCPM, and when and how to cite an OCPM provision as an authority in an action issued by an OMHA adjudicator.</w:t>
      </w:r>
    </w:p>
    <w:p w14:paraId="7D335E7F" w14:textId="77777777" w:rsidR="00005D28" w:rsidRPr="00D271E6" w:rsidRDefault="00005D28" w:rsidP="00005D28">
      <w:pPr>
        <w:rPr>
          <w:rFonts w:cs="Calibri"/>
          <w:noProof/>
          <w:szCs w:val="26"/>
        </w:rPr>
      </w:pPr>
      <w:r w:rsidRPr="00D271E6">
        <w:rPr>
          <w:rFonts w:cs="Calibri"/>
          <w:noProof/>
          <w:szCs w:val="26"/>
        </w:rPr>
        <w:t>OMHA receives a variety of appeals, including a</w:t>
      </w:r>
      <w:r w:rsidRPr="00D271E6">
        <w:rPr>
          <w:rFonts w:cs="Calibri"/>
          <w:bCs/>
          <w:noProof/>
          <w:szCs w:val="26"/>
        </w:rPr>
        <w:t>ppeals of Medicare Part A and B initial determinations; Part C organization determinations; Part D coverage determinations and at-risk determinations;</w:t>
      </w:r>
      <w:r w:rsidRPr="00D271E6">
        <w:rPr>
          <w:rStyle w:val="FootnoteReference"/>
          <w:rFonts w:cs="Calibri"/>
          <w:bCs/>
          <w:noProof/>
          <w:szCs w:val="26"/>
        </w:rPr>
        <w:footnoteReference w:id="1"/>
      </w:r>
      <w:r w:rsidRPr="00D271E6">
        <w:rPr>
          <w:rFonts w:cs="Calibri"/>
          <w:bCs/>
          <w:noProof/>
          <w:szCs w:val="26"/>
        </w:rPr>
        <w:t xml:space="preserve"> and SSA eligibility/entitlement, late enrollment penalty, and IRMAA determinations</w:t>
      </w:r>
      <w:r w:rsidRPr="00D271E6">
        <w:rPr>
          <w:rFonts w:cs="Calibri"/>
          <w:noProof/>
          <w:szCs w:val="26"/>
        </w:rPr>
        <w:t>. This chapter describes when a specific OCPM provision may be read to apply to all or certain types of appeals, and describes OCPM conventions for citing to statutory, regulatory, and other applicable authorities.</w:t>
      </w:r>
    </w:p>
    <w:p w14:paraId="36BD3BFA" w14:textId="77777777" w:rsidR="00005D28" w:rsidRPr="00D271E6" w:rsidRDefault="00005D28" w:rsidP="00005D28">
      <w:pPr>
        <w:rPr>
          <w:rFonts w:cs="Calibri"/>
          <w:noProof/>
          <w:szCs w:val="26"/>
        </w:rPr>
      </w:pPr>
      <w:r w:rsidRPr="00D271E6">
        <w:rPr>
          <w:rFonts w:cs="Calibri"/>
          <w:noProof/>
          <w:szCs w:val="26"/>
        </w:rPr>
        <w:t>In addition, this chapter describes the process for updating an OCPM chapter, as well as how to determine when a revision was issued or became effective, and how to access prior versions of a chapter.</w:t>
      </w:r>
    </w:p>
    <w:p w14:paraId="75DA7A27" w14:textId="11CDBE2E" w:rsidR="00A15B22" w:rsidRPr="008F75D4" w:rsidRDefault="005C4DEE" w:rsidP="008F75D4">
      <w:pPr>
        <w:pBdr>
          <w:top w:val="single" w:sz="4" w:space="4" w:color="auto"/>
          <w:left w:val="single" w:sz="4" w:space="4" w:color="auto"/>
          <w:bottom w:val="single" w:sz="4" w:space="4" w:color="auto"/>
          <w:right w:val="single" w:sz="4" w:space="4" w:color="auto"/>
        </w:pBdr>
        <w:spacing w:before="240" w:after="240" w:line="276" w:lineRule="auto"/>
        <w:ind w:left="1224" w:hanging="1080"/>
        <w:rPr>
          <w:rFonts w:cs="Calibri"/>
          <w:szCs w:val="26"/>
        </w:rPr>
      </w:pPr>
      <w:r w:rsidRPr="00D271E6">
        <w:rPr>
          <w:rFonts w:cs="Calibri"/>
          <w:i/>
          <w:iCs/>
          <w:szCs w:val="26"/>
        </w:rPr>
        <w:t>Caution</w:t>
      </w:r>
      <w:r w:rsidRPr="00D271E6">
        <w:rPr>
          <w:rFonts w:cs="Calibri"/>
          <w:szCs w:val="26"/>
        </w:rPr>
        <w:t>:</w:t>
      </w:r>
      <w:r w:rsidRPr="00D271E6">
        <w:rPr>
          <w:rFonts w:cs="Calibri"/>
          <w:szCs w:val="26"/>
        </w:rPr>
        <w:tab/>
      </w:r>
      <w:r w:rsidR="000764C4" w:rsidRPr="00D271E6">
        <w:rPr>
          <w:rFonts w:cs="Calibri"/>
          <w:szCs w:val="26"/>
        </w:rPr>
        <w:t xml:space="preserve">When taking the actions described in this chapter, ensure that all PII, PHI, and Federal Tax Information </w:t>
      </w:r>
      <w:proofErr w:type="gramStart"/>
      <w:r w:rsidR="000764C4" w:rsidRPr="00D271E6">
        <w:rPr>
          <w:rFonts w:cs="Calibri"/>
          <w:szCs w:val="26"/>
        </w:rPr>
        <w:t>is</w:t>
      </w:r>
      <w:proofErr w:type="gramEnd"/>
      <w:r w:rsidR="000764C4" w:rsidRPr="00D271E6">
        <w:rPr>
          <w:rFonts w:cs="Calibri"/>
          <w:szCs w:val="26"/>
        </w:rPr>
        <w:t xml:space="preserve"> secured and only disclosed to authorized individuals (internally, those who need to know).</w:t>
      </w:r>
    </w:p>
    <w:p w14:paraId="5BFAF7E3" w14:textId="77777777" w:rsidR="00334B4E" w:rsidRPr="00D271E6" w:rsidRDefault="00334B4E" w:rsidP="00472E66">
      <w:pPr>
        <w:pStyle w:val="Heading2"/>
        <w:rPr>
          <w:rFonts w:cs="Calibri"/>
        </w:rPr>
      </w:pPr>
      <w:bookmarkStart w:id="2" w:name="_Ref513555850"/>
      <w:bookmarkStart w:id="3" w:name="_Toc237517475"/>
      <w:r w:rsidRPr="00D271E6">
        <w:rPr>
          <w:rFonts w:cs="Calibri"/>
        </w:rPr>
        <w:lastRenderedPageBreak/>
        <w:t>Purpose and organization</w:t>
      </w:r>
      <w:bookmarkEnd w:id="2"/>
      <w:bookmarkEnd w:id="3"/>
    </w:p>
    <w:p w14:paraId="3A4B16F3" w14:textId="77777777" w:rsidR="00AE3630" w:rsidRPr="00D271E6" w:rsidRDefault="00AE3630" w:rsidP="00AE3630">
      <w:pPr>
        <w:keepNext/>
        <w:spacing w:after="180"/>
        <w:rPr>
          <w:rFonts w:cs="Calibri"/>
          <w:szCs w:val="26"/>
        </w:rPr>
      </w:pPr>
      <w:r w:rsidRPr="00D271E6">
        <w:rPr>
          <w:rFonts w:cs="Calibri"/>
          <w:szCs w:val="26"/>
        </w:rPr>
        <w:t>(Issued: 05-25-18, Effective: 05-25-18)</w:t>
      </w:r>
    </w:p>
    <w:p w14:paraId="05202949" w14:textId="77777777" w:rsidR="005D5B50" w:rsidRPr="00D271E6" w:rsidRDefault="005D5B50" w:rsidP="004A3A68">
      <w:pPr>
        <w:pStyle w:val="ListParagraph"/>
        <w:keepNext/>
        <w:numPr>
          <w:ilvl w:val="1"/>
          <w:numId w:val="1"/>
        </w:numPr>
        <w:spacing w:after="180" w:line="276" w:lineRule="auto"/>
        <w:contextualSpacing w:val="0"/>
        <w:outlineLvl w:val="1"/>
        <w:rPr>
          <w:rFonts w:cs="Calibri"/>
          <w:b/>
          <w:szCs w:val="26"/>
        </w:rPr>
      </w:pPr>
      <w:r w:rsidRPr="00D271E6">
        <w:rPr>
          <w:rFonts w:cs="Calibri"/>
          <w:b/>
          <w:szCs w:val="26"/>
        </w:rPr>
        <w:t xml:space="preserve">What is </w:t>
      </w:r>
      <w:proofErr w:type="gramStart"/>
      <w:r w:rsidRPr="00D271E6">
        <w:rPr>
          <w:rFonts w:cs="Calibri"/>
          <w:b/>
          <w:szCs w:val="26"/>
        </w:rPr>
        <w:t>the OCPM</w:t>
      </w:r>
      <w:proofErr w:type="gramEnd"/>
      <w:r w:rsidRPr="00D271E6">
        <w:rPr>
          <w:rFonts w:cs="Calibri"/>
          <w:b/>
          <w:szCs w:val="26"/>
        </w:rPr>
        <w:t>?</w:t>
      </w:r>
    </w:p>
    <w:p w14:paraId="471ABE05" w14:textId="47D9C725" w:rsidR="008E3EB3" w:rsidRPr="00D271E6" w:rsidRDefault="008E3EB3" w:rsidP="008E3EB3">
      <w:pPr>
        <w:spacing w:after="180"/>
        <w:rPr>
          <w:rFonts w:cs="Calibri"/>
          <w:bCs/>
          <w:noProof/>
          <w:szCs w:val="26"/>
        </w:rPr>
      </w:pPr>
      <w:r w:rsidRPr="00D271E6">
        <w:rPr>
          <w:rFonts w:cs="Calibri"/>
          <w:bCs/>
          <w:noProof/>
          <w:szCs w:val="26"/>
        </w:rPr>
        <w:t>Through the OCPM, OMHA establishes the day-to-day procedures for carrying out adjudicative functions, in accordance with applicable procedural rules. The manual provides direction for processing cases at the OMHA level of adjudication for appeals of Medicare Part A and B initial determinations; Part C organization determinations; Part D coverage determinations and at-risk determinations; and SSA eligibility/entitlement, Part B late enrollment penalty, and IRMAA determinations.</w:t>
      </w:r>
    </w:p>
    <w:p w14:paraId="129F945D" w14:textId="77777777" w:rsidR="00E63A69" w:rsidRPr="00D271E6" w:rsidRDefault="00E63A69" w:rsidP="004A3A68">
      <w:pPr>
        <w:pStyle w:val="ListParagraph"/>
        <w:keepNext/>
        <w:numPr>
          <w:ilvl w:val="1"/>
          <w:numId w:val="1"/>
        </w:numPr>
        <w:spacing w:after="180" w:line="276" w:lineRule="auto"/>
        <w:contextualSpacing w:val="0"/>
        <w:outlineLvl w:val="1"/>
        <w:rPr>
          <w:rFonts w:cs="Calibri"/>
          <w:b/>
          <w:noProof/>
          <w:szCs w:val="26"/>
        </w:rPr>
      </w:pPr>
      <w:r w:rsidRPr="00D271E6">
        <w:rPr>
          <w:rFonts w:cs="Calibri"/>
          <w:b/>
          <w:szCs w:val="26"/>
        </w:rPr>
        <w:t>Are instructions contained in the OCPM mandatory?</w:t>
      </w:r>
    </w:p>
    <w:p w14:paraId="46C9925D" w14:textId="3BF23531" w:rsidR="00E91E81" w:rsidRPr="00D271E6" w:rsidRDefault="00E91E81" w:rsidP="00E91E81">
      <w:pPr>
        <w:spacing w:after="180"/>
        <w:rPr>
          <w:rFonts w:cs="Calibri"/>
          <w:bCs/>
          <w:szCs w:val="26"/>
        </w:rPr>
      </w:pPr>
      <w:r w:rsidRPr="00D271E6">
        <w:rPr>
          <w:rFonts w:cs="Calibri"/>
          <w:bCs/>
          <w:szCs w:val="26"/>
        </w:rPr>
        <w:t>Yes. OCPM instructions are mandatory for all OMHA staff, including use of approved OMHA forms and templates described in the instructions.</w:t>
      </w:r>
    </w:p>
    <w:p w14:paraId="4DB26047" w14:textId="77777777" w:rsidR="0069696D" w:rsidRPr="00D271E6" w:rsidRDefault="0069696D" w:rsidP="004A3A68">
      <w:pPr>
        <w:pStyle w:val="ListParagraph"/>
        <w:keepNext/>
        <w:numPr>
          <w:ilvl w:val="1"/>
          <w:numId w:val="1"/>
        </w:numPr>
        <w:spacing w:after="180" w:line="276" w:lineRule="auto"/>
        <w:contextualSpacing w:val="0"/>
        <w:outlineLvl w:val="1"/>
        <w:rPr>
          <w:rFonts w:cs="Calibri"/>
          <w:b/>
          <w:szCs w:val="26"/>
        </w:rPr>
      </w:pPr>
      <w:r w:rsidRPr="00D271E6">
        <w:rPr>
          <w:rFonts w:cs="Calibri"/>
          <w:b/>
          <w:szCs w:val="26"/>
        </w:rPr>
        <w:t>How is the OCPM organized?</w:t>
      </w:r>
    </w:p>
    <w:p w14:paraId="4E201E6C" w14:textId="77777777" w:rsidR="009D1FC5" w:rsidRPr="00D271E6" w:rsidRDefault="009D1FC5" w:rsidP="009D1FC5">
      <w:pPr>
        <w:spacing w:after="180"/>
        <w:rPr>
          <w:rFonts w:cs="Calibri"/>
          <w:bCs/>
          <w:szCs w:val="26"/>
        </w:rPr>
      </w:pPr>
      <w:r w:rsidRPr="00D271E6">
        <w:rPr>
          <w:rFonts w:cs="Calibri"/>
          <w:bCs/>
          <w:szCs w:val="26"/>
        </w:rPr>
        <w:t>The OCPM is organized into 20 chapters, with appendices.</w:t>
      </w:r>
    </w:p>
    <w:p w14:paraId="413BF6B7" w14:textId="77777777" w:rsidR="009D1FC5" w:rsidRPr="00D271E6" w:rsidRDefault="009D1FC5" w:rsidP="009D1FC5">
      <w:pPr>
        <w:pStyle w:val="ListParagraph"/>
        <w:numPr>
          <w:ilvl w:val="0"/>
          <w:numId w:val="5"/>
        </w:numPr>
        <w:spacing w:after="180" w:line="276" w:lineRule="auto"/>
        <w:rPr>
          <w:rFonts w:cs="Calibri"/>
          <w:bCs/>
          <w:noProof/>
          <w:szCs w:val="26"/>
        </w:rPr>
      </w:pPr>
      <w:r w:rsidRPr="00D271E6">
        <w:rPr>
          <w:rFonts w:cs="Calibri"/>
          <w:bCs/>
          <w:szCs w:val="26"/>
        </w:rPr>
        <w:t>Chapters 1 through 8 contain general subjects;</w:t>
      </w:r>
    </w:p>
    <w:p w14:paraId="79456765" w14:textId="77777777" w:rsidR="009D1FC5" w:rsidRPr="00D271E6" w:rsidRDefault="009D1FC5" w:rsidP="009D1FC5">
      <w:pPr>
        <w:pStyle w:val="ListParagraph"/>
        <w:numPr>
          <w:ilvl w:val="0"/>
          <w:numId w:val="5"/>
        </w:numPr>
        <w:spacing w:after="180" w:line="276" w:lineRule="auto"/>
        <w:rPr>
          <w:rFonts w:cs="Calibri"/>
          <w:bCs/>
          <w:noProof/>
          <w:szCs w:val="26"/>
        </w:rPr>
      </w:pPr>
      <w:r w:rsidRPr="00D271E6">
        <w:rPr>
          <w:rFonts w:cs="Calibri"/>
          <w:bCs/>
          <w:szCs w:val="26"/>
        </w:rPr>
        <w:t>Chapters 9 through 20 address OMHA’s case-processing procedures, from request intake and docketing (OCPM 9) through post-adjudication actions (OCPM 20); and</w:t>
      </w:r>
    </w:p>
    <w:p w14:paraId="261A30E3" w14:textId="027A2D9C" w:rsidR="009D1FC5" w:rsidRPr="008F75D4" w:rsidRDefault="009D1FC5" w:rsidP="00BA03D1">
      <w:pPr>
        <w:pStyle w:val="ListParagraph"/>
        <w:numPr>
          <w:ilvl w:val="0"/>
          <w:numId w:val="5"/>
        </w:numPr>
        <w:spacing w:after="180" w:line="276" w:lineRule="auto"/>
        <w:rPr>
          <w:rFonts w:cs="Calibri"/>
          <w:bCs/>
          <w:noProof/>
          <w:szCs w:val="26"/>
        </w:rPr>
      </w:pPr>
      <w:r w:rsidRPr="00D271E6">
        <w:rPr>
          <w:rFonts w:cs="Calibri"/>
          <w:bCs/>
          <w:szCs w:val="26"/>
        </w:rPr>
        <w:t>Appendix A contains temporary instructions.</w:t>
      </w:r>
    </w:p>
    <w:p w14:paraId="085AD2DB" w14:textId="77777777" w:rsidR="008F75D4" w:rsidRDefault="008F75D4">
      <w:pPr>
        <w:rPr>
          <w:rFonts w:cs="Calibri"/>
          <w:b/>
          <w:sz w:val="32"/>
          <w:szCs w:val="32"/>
        </w:rPr>
      </w:pPr>
      <w:bookmarkStart w:id="4" w:name="_Ref513555855"/>
      <w:bookmarkStart w:id="5" w:name="_Toc237517476"/>
      <w:r>
        <w:rPr>
          <w:rFonts w:cs="Calibri"/>
          <w:b/>
          <w:sz w:val="32"/>
          <w:szCs w:val="32"/>
        </w:rPr>
        <w:br w:type="page"/>
      </w:r>
    </w:p>
    <w:p w14:paraId="0D05F4FB" w14:textId="24346030" w:rsidR="00506C9C" w:rsidRPr="00D271E6" w:rsidRDefault="00506C9C" w:rsidP="00192E4A">
      <w:pPr>
        <w:pStyle w:val="ListParagraph"/>
        <w:keepNext/>
        <w:numPr>
          <w:ilvl w:val="0"/>
          <w:numId w:val="1"/>
        </w:numPr>
        <w:spacing w:after="0" w:line="276" w:lineRule="auto"/>
        <w:contextualSpacing w:val="0"/>
        <w:outlineLvl w:val="0"/>
        <w:rPr>
          <w:rFonts w:cs="Calibri"/>
          <w:b/>
          <w:sz w:val="32"/>
          <w:szCs w:val="32"/>
        </w:rPr>
      </w:pPr>
      <w:r w:rsidRPr="00D271E6">
        <w:rPr>
          <w:rFonts w:cs="Calibri"/>
          <w:b/>
          <w:sz w:val="32"/>
          <w:szCs w:val="32"/>
        </w:rPr>
        <w:lastRenderedPageBreak/>
        <w:t>Using the OCPM</w:t>
      </w:r>
      <w:bookmarkEnd w:id="4"/>
      <w:bookmarkEnd w:id="5"/>
    </w:p>
    <w:p w14:paraId="7A98598A" w14:textId="3386982C" w:rsidR="004F47B3" w:rsidRPr="00D271E6" w:rsidRDefault="007912E4" w:rsidP="00D271E6">
      <w:pPr>
        <w:keepNext/>
        <w:spacing w:after="180"/>
        <w:rPr>
          <w:rFonts w:cs="Calibri"/>
          <w:szCs w:val="26"/>
        </w:rPr>
      </w:pPr>
      <w:r w:rsidRPr="00D271E6">
        <w:rPr>
          <w:rFonts w:cs="Calibri"/>
          <w:szCs w:val="26"/>
        </w:rPr>
        <w:t>(Issued: 05-25-18, Effective: 05-25-18)</w:t>
      </w:r>
    </w:p>
    <w:p w14:paraId="004E0A73" w14:textId="77777777" w:rsidR="009513EF" w:rsidRPr="00D271E6" w:rsidRDefault="009513EF" w:rsidP="004A3A68">
      <w:pPr>
        <w:pStyle w:val="ListParagraph"/>
        <w:keepNext/>
        <w:numPr>
          <w:ilvl w:val="1"/>
          <w:numId w:val="1"/>
        </w:numPr>
        <w:spacing w:after="180" w:line="276" w:lineRule="auto"/>
        <w:contextualSpacing w:val="0"/>
        <w:outlineLvl w:val="1"/>
        <w:rPr>
          <w:rFonts w:cs="Calibri"/>
          <w:b/>
          <w:sz w:val="32"/>
          <w:szCs w:val="32"/>
        </w:rPr>
      </w:pPr>
      <w:r w:rsidRPr="00D271E6">
        <w:rPr>
          <w:rFonts w:cs="Calibri"/>
          <w:b/>
          <w:szCs w:val="26"/>
        </w:rPr>
        <w:t>How do I locate information in the OCPM?</w:t>
      </w:r>
    </w:p>
    <w:p w14:paraId="5181D8A1" w14:textId="77777777" w:rsidR="00830736" w:rsidRPr="00D271E6" w:rsidRDefault="00830736" w:rsidP="00830736">
      <w:pPr>
        <w:spacing w:after="180"/>
        <w:rPr>
          <w:rFonts w:cs="Calibri"/>
          <w:bCs/>
          <w:szCs w:val="26"/>
        </w:rPr>
      </w:pPr>
      <w:r w:rsidRPr="00D271E6">
        <w:rPr>
          <w:rFonts w:cs="Calibri"/>
          <w:bCs/>
          <w:szCs w:val="26"/>
        </w:rPr>
        <w:t xml:space="preserve">Each OCPM chapter has a table of </w:t>
      </w:r>
      <w:proofErr w:type="gramStart"/>
      <w:r w:rsidRPr="00D271E6">
        <w:rPr>
          <w:rFonts w:cs="Calibri"/>
          <w:bCs/>
          <w:szCs w:val="26"/>
        </w:rPr>
        <w:t>contents</w:t>
      </w:r>
      <w:proofErr w:type="gramEnd"/>
      <w:r w:rsidRPr="00D271E6">
        <w:rPr>
          <w:rFonts w:cs="Calibri"/>
          <w:bCs/>
          <w:szCs w:val="26"/>
        </w:rPr>
        <w:t xml:space="preserve"> listing the top-level sections contained in that chapter. Each entry in the table of contents is linked to the corresponding section; you can navigate to that section by clicking on the entry.</w:t>
      </w:r>
    </w:p>
    <w:p w14:paraId="6AE3D87E" w14:textId="482F2E04" w:rsidR="002B7FA4" w:rsidRPr="00D271E6" w:rsidRDefault="00830736" w:rsidP="00830736">
      <w:pPr>
        <w:spacing w:after="180"/>
        <w:rPr>
          <w:rFonts w:cs="Calibri"/>
          <w:bCs/>
          <w:szCs w:val="26"/>
        </w:rPr>
      </w:pPr>
      <w:r w:rsidRPr="00D271E6">
        <w:rPr>
          <w:rFonts w:cs="Calibri"/>
          <w:bCs/>
          <w:szCs w:val="26"/>
        </w:rPr>
        <w:t>In addition, OCPM provisions contain clickable internal cross-references to other sections or subsections within the same chapter, as well as cross-references to other OCPM chapters.</w:t>
      </w:r>
    </w:p>
    <w:p w14:paraId="09101822" w14:textId="77777777" w:rsidR="00750332" w:rsidRPr="00D271E6" w:rsidRDefault="00750332" w:rsidP="004A3A68">
      <w:pPr>
        <w:pStyle w:val="ListParagraph"/>
        <w:keepNext/>
        <w:numPr>
          <w:ilvl w:val="1"/>
          <w:numId w:val="1"/>
        </w:numPr>
        <w:spacing w:after="180" w:line="276" w:lineRule="auto"/>
        <w:contextualSpacing w:val="0"/>
        <w:outlineLvl w:val="1"/>
        <w:rPr>
          <w:rFonts w:cs="Calibri"/>
          <w:b/>
          <w:szCs w:val="26"/>
        </w:rPr>
      </w:pPr>
      <w:bookmarkStart w:id="6" w:name="_Ref237520146"/>
      <w:r w:rsidRPr="00D271E6">
        <w:rPr>
          <w:rFonts w:cs="Calibri"/>
          <w:b/>
          <w:szCs w:val="26"/>
        </w:rPr>
        <w:t xml:space="preserve">How do I </w:t>
      </w:r>
      <w:proofErr w:type="gramStart"/>
      <w:r w:rsidRPr="00D271E6">
        <w:rPr>
          <w:rFonts w:cs="Calibri"/>
          <w:b/>
          <w:szCs w:val="26"/>
        </w:rPr>
        <w:t>cite to</w:t>
      </w:r>
      <w:proofErr w:type="gramEnd"/>
      <w:r w:rsidRPr="00D271E6">
        <w:rPr>
          <w:rFonts w:cs="Calibri"/>
          <w:b/>
          <w:szCs w:val="26"/>
        </w:rPr>
        <w:t xml:space="preserve"> an OCPM provision . . .</w:t>
      </w:r>
      <w:bookmarkEnd w:id="6"/>
    </w:p>
    <w:p w14:paraId="49D01312" w14:textId="14CD8E3D" w:rsidR="0094232E" w:rsidRPr="00D271E6" w:rsidRDefault="00DF44F7" w:rsidP="004A3A68">
      <w:pPr>
        <w:pStyle w:val="ListParagraph"/>
        <w:keepNext/>
        <w:numPr>
          <w:ilvl w:val="2"/>
          <w:numId w:val="1"/>
        </w:numPr>
        <w:spacing w:after="180" w:line="276" w:lineRule="auto"/>
        <w:contextualSpacing w:val="0"/>
        <w:outlineLvl w:val="2"/>
        <w:rPr>
          <w:rFonts w:cs="Calibri"/>
          <w:b/>
          <w:szCs w:val="26"/>
        </w:rPr>
      </w:pPr>
      <w:proofErr w:type="gramStart"/>
      <w:r w:rsidRPr="00D271E6">
        <w:rPr>
          <w:rFonts w:cs="Calibri"/>
          <w:b/>
          <w:szCs w:val="26"/>
        </w:rPr>
        <w:t>When</w:t>
      </w:r>
      <w:proofErr w:type="gramEnd"/>
      <w:r w:rsidRPr="00D271E6">
        <w:rPr>
          <w:rFonts w:cs="Calibri"/>
          <w:b/>
          <w:szCs w:val="26"/>
        </w:rPr>
        <w:t xml:space="preserve"> a controlling authority applies?</w:t>
      </w:r>
    </w:p>
    <w:p w14:paraId="08ACD8BD" w14:textId="77777777" w:rsidR="00B45ACF" w:rsidRPr="00D271E6" w:rsidRDefault="00B45ACF" w:rsidP="001D3C08">
      <w:pPr>
        <w:pStyle w:val="NormalIndented"/>
      </w:pPr>
      <w:r w:rsidRPr="00D271E6">
        <w:t>If an applicable controlling authority (for example, a statute, regulation, CMS Ruling, or CMS program guidance) applies, that authority must be cited.</w:t>
      </w:r>
    </w:p>
    <w:p w14:paraId="01B6A771" w14:textId="77777777" w:rsidR="00E9482F" w:rsidRPr="00E9482F" w:rsidRDefault="00E9482F" w:rsidP="00E9482F">
      <w:pPr>
        <w:keepNext/>
        <w:pBdr>
          <w:top w:val="single" w:sz="4" w:space="1" w:color="auto"/>
          <w:left w:val="single" w:sz="4" w:space="4" w:color="auto"/>
          <w:bottom w:val="single" w:sz="4" w:space="1" w:color="auto"/>
          <w:right w:val="single" w:sz="4" w:space="4" w:color="auto"/>
        </w:pBdr>
        <w:spacing w:after="0" w:line="276" w:lineRule="auto"/>
        <w:ind w:left="1440" w:right="72" w:hanging="1080"/>
        <w:rPr>
          <w:bCs/>
          <w:i/>
          <w:iCs/>
          <w:sz w:val="12"/>
          <w:szCs w:val="12"/>
        </w:rPr>
      </w:pPr>
    </w:p>
    <w:p w14:paraId="433D9739" w14:textId="10559845" w:rsidR="00A44170" w:rsidRDefault="00555F1C" w:rsidP="00A44170">
      <w:pPr>
        <w:keepNext/>
        <w:pBdr>
          <w:top w:val="single" w:sz="4" w:space="1" w:color="auto"/>
          <w:left w:val="single" w:sz="4" w:space="4" w:color="auto"/>
          <w:bottom w:val="single" w:sz="4" w:space="1" w:color="auto"/>
          <w:right w:val="single" w:sz="4" w:space="4" w:color="auto"/>
        </w:pBdr>
        <w:spacing w:after="0" w:line="276" w:lineRule="auto"/>
        <w:ind w:left="1440" w:right="72" w:hanging="1080"/>
        <w:rPr>
          <w:bCs/>
          <w:szCs w:val="26"/>
        </w:rPr>
      </w:pPr>
      <w:r>
        <w:rPr>
          <w:bCs/>
          <w:i/>
          <w:iCs/>
          <w:szCs w:val="26"/>
        </w:rPr>
        <w:t>Example</w:t>
      </w:r>
      <w:r>
        <w:rPr>
          <w:bCs/>
          <w:szCs w:val="26"/>
        </w:rPr>
        <w:t>:</w:t>
      </w:r>
      <w:r>
        <w:rPr>
          <w:bCs/>
          <w:szCs w:val="26"/>
        </w:rPr>
        <w:tab/>
        <w:t xml:space="preserve">In a Part A appeal, an ALJ dismisses a case for failure to meet the minimum AIC required for an ALJ hearing. The regulation relating to dismissal for no right to a hearing, </w:t>
      </w:r>
      <w:hyperlink r:id="rId11" w:history="1">
        <w:r w:rsidRPr="004C0205">
          <w:rPr>
            <w:rStyle w:val="Hyperlink"/>
            <w:bCs/>
            <w:color w:val="0000FF"/>
            <w:szCs w:val="26"/>
          </w:rPr>
          <w:t>42 C.F.R. section 405.1052(a)(2)</w:t>
        </w:r>
      </w:hyperlink>
      <w:r>
        <w:rPr>
          <w:bCs/>
          <w:szCs w:val="26"/>
        </w:rPr>
        <w:t>, is cited in the dismissal, rather than the OCPM provision describing the dismissal process.</w:t>
      </w:r>
    </w:p>
    <w:p w14:paraId="263D5EDD" w14:textId="77777777" w:rsidR="00E9482F" w:rsidRPr="00E9482F" w:rsidRDefault="00E9482F" w:rsidP="00E9482F">
      <w:pPr>
        <w:keepNext/>
        <w:pBdr>
          <w:top w:val="single" w:sz="4" w:space="1" w:color="auto"/>
          <w:left w:val="single" w:sz="4" w:space="4" w:color="auto"/>
          <w:bottom w:val="single" w:sz="4" w:space="1" w:color="auto"/>
          <w:right w:val="single" w:sz="4" w:space="4" w:color="auto"/>
        </w:pBdr>
        <w:spacing w:after="0" w:line="276" w:lineRule="auto"/>
        <w:ind w:left="1440" w:right="72" w:hanging="1080"/>
        <w:rPr>
          <w:rFonts w:cs="Calibri"/>
          <w:b/>
          <w:sz w:val="12"/>
          <w:szCs w:val="12"/>
        </w:rPr>
      </w:pPr>
    </w:p>
    <w:p w14:paraId="4DCAED7E" w14:textId="177A25A8" w:rsidR="00361A63" w:rsidRDefault="00EE3DDD" w:rsidP="004A3A68">
      <w:pPr>
        <w:pStyle w:val="ListParagraph"/>
        <w:keepNext/>
        <w:numPr>
          <w:ilvl w:val="2"/>
          <w:numId w:val="1"/>
        </w:numPr>
        <w:spacing w:before="120" w:after="180" w:line="276" w:lineRule="auto"/>
        <w:contextualSpacing w:val="0"/>
        <w:outlineLvl w:val="2"/>
        <w:rPr>
          <w:rFonts w:cs="Calibri"/>
          <w:b/>
          <w:szCs w:val="26"/>
        </w:rPr>
      </w:pPr>
      <w:bookmarkStart w:id="7" w:name="_Ref11309989"/>
      <w:proofErr w:type="gramStart"/>
      <w:r w:rsidRPr="00D271E6">
        <w:rPr>
          <w:rFonts w:cs="Calibri"/>
          <w:b/>
          <w:szCs w:val="26"/>
        </w:rPr>
        <w:t>When</w:t>
      </w:r>
      <w:proofErr w:type="gramEnd"/>
      <w:r w:rsidRPr="00D271E6">
        <w:rPr>
          <w:rFonts w:cs="Calibri"/>
          <w:b/>
          <w:szCs w:val="26"/>
        </w:rPr>
        <w:t xml:space="preserve"> </w:t>
      </w:r>
      <w:r w:rsidRPr="00D271E6">
        <w:rPr>
          <w:rFonts w:cs="Calibri"/>
          <w:b/>
          <w:szCs w:val="26"/>
          <w:u w:val="single"/>
        </w:rPr>
        <w:t>no</w:t>
      </w:r>
      <w:r w:rsidRPr="00D271E6">
        <w:rPr>
          <w:rFonts w:cs="Calibri"/>
          <w:b/>
          <w:szCs w:val="26"/>
        </w:rPr>
        <w:t xml:space="preserve"> controlling authority applies?</w:t>
      </w:r>
      <w:bookmarkEnd w:id="7"/>
    </w:p>
    <w:p w14:paraId="7573D534" w14:textId="77777777" w:rsidR="009159C6" w:rsidRPr="009159C6" w:rsidRDefault="009159C6" w:rsidP="009159C6">
      <w:pPr>
        <w:pStyle w:val="NormalIndented"/>
      </w:pPr>
      <w:r w:rsidRPr="009159C6">
        <w:t>If the OCPM contains internal OMHA direction or procedural requirements that are not stated in an applicable controlling authority (for example, a statute, regulation, CMS Ruling, or CMS program guidance), it may be appropriate to cite to the OCPM.</w:t>
      </w:r>
    </w:p>
    <w:p w14:paraId="3D35CE47" w14:textId="77C725DF" w:rsidR="00E9482F" w:rsidRDefault="009159C6" w:rsidP="009159C6">
      <w:pPr>
        <w:pStyle w:val="NormalIndented"/>
      </w:pPr>
      <w:r w:rsidRPr="009159C6">
        <w:t>When citing to a specific OCPM reference, use “OCPM,” followed by the section or subsection being referenced. Use citation signals (for example, see, see also, Cf.) as appropriate.</w:t>
      </w:r>
    </w:p>
    <w:p w14:paraId="7A4C90C8" w14:textId="3A106067" w:rsidR="009159C6" w:rsidRPr="00F334B7" w:rsidRDefault="009159C6" w:rsidP="00BA42B6">
      <w:pPr>
        <w:keepNext/>
        <w:pBdr>
          <w:top w:val="single" w:sz="4" w:space="4" w:color="auto"/>
          <w:left w:val="single" w:sz="4" w:space="4" w:color="auto"/>
          <w:bottom w:val="single" w:sz="4" w:space="4" w:color="auto"/>
          <w:right w:val="single" w:sz="4" w:space="4" w:color="auto"/>
        </w:pBdr>
        <w:spacing w:after="0" w:line="276" w:lineRule="auto"/>
        <w:ind w:left="1440" w:right="72" w:hanging="1080"/>
        <w:rPr>
          <w:bCs/>
          <w:szCs w:val="26"/>
        </w:rPr>
      </w:pPr>
      <w:r>
        <w:rPr>
          <w:bCs/>
          <w:i/>
          <w:iCs/>
          <w:szCs w:val="26"/>
        </w:rPr>
        <w:t>Example</w:t>
      </w:r>
      <w:r>
        <w:rPr>
          <w:bCs/>
          <w:szCs w:val="26"/>
        </w:rPr>
        <w:t>:</w:t>
      </w:r>
      <w:r>
        <w:rPr>
          <w:bCs/>
          <w:szCs w:val="26"/>
        </w:rPr>
        <w:tab/>
      </w:r>
      <w:r w:rsidR="00D03CC8" w:rsidRPr="00273CDA">
        <w:rPr>
          <w:bCs/>
          <w:i/>
          <w:iCs/>
          <w:szCs w:val="26"/>
        </w:rPr>
        <w:t>See</w:t>
      </w:r>
      <w:r w:rsidR="00D03CC8">
        <w:rPr>
          <w:bCs/>
          <w:szCs w:val="26"/>
        </w:rPr>
        <w:t xml:space="preserve"> </w:t>
      </w:r>
      <w:r w:rsidR="00B35F19">
        <w:rPr>
          <w:bCs/>
          <w:szCs w:val="26"/>
        </w:rPr>
        <w:t xml:space="preserve">OCPM </w:t>
      </w:r>
      <w:r w:rsidR="00B35F19" w:rsidRPr="00B35F19">
        <w:rPr>
          <w:bCs/>
          <w:color w:val="0000FF"/>
          <w:szCs w:val="26"/>
          <w:u w:val="single"/>
        </w:rPr>
        <w:fldChar w:fldCharType="begin"/>
      </w:r>
      <w:r w:rsidR="00B35F19" w:rsidRPr="00B35F19">
        <w:rPr>
          <w:bCs/>
          <w:color w:val="0000FF"/>
          <w:szCs w:val="26"/>
          <w:u w:val="single"/>
        </w:rPr>
        <w:instrText xml:space="preserve"> REF _Ref11309989 \r \h  \* MERGEFORMAT </w:instrText>
      </w:r>
      <w:r w:rsidR="00B35F19" w:rsidRPr="00B35F19">
        <w:rPr>
          <w:bCs/>
          <w:color w:val="0000FF"/>
          <w:szCs w:val="26"/>
          <w:u w:val="single"/>
        </w:rPr>
      </w:r>
      <w:r w:rsidR="00B35F19" w:rsidRPr="00B35F19">
        <w:rPr>
          <w:bCs/>
          <w:color w:val="0000FF"/>
          <w:szCs w:val="26"/>
          <w:u w:val="single"/>
        </w:rPr>
        <w:fldChar w:fldCharType="separate"/>
      </w:r>
      <w:r w:rsidR="00B35F19" w:rsidRPr="00B35F19">
        <w:rPr>
          <w:bCs/>
          <w:color w:val="0000FF"/>
          <w:szCs w:val="26"/>
          <w:u w:val="single"/>
        </w:rPr>
        <w:t>1.2.2.2</w:t>
      </w:r>
      <w:r w:rsidR="00B35F19" w:rsidRPr="00B35F19">
        <w:rPr>
          <w:bCs/>
          <w:color w:val="0000FF"/>
          <w:szCs w:val="26"/>
          <w:u w:val="single"/>
        </w:rPr>
        <w:fldChar w:fldCharType="end"/>
      </w:r>
    </w:p>
    <w:p w14:paraId="6A526862" w14:textId="77777777" w:rsidR="002735F3" w:rsidRDefault="002735F3" w:rsidP="004A3A68">
      <w:pPr>
        <w:pStyle w:val="ListParagraph"/>
        <w:keepNext/>
        <w:numPr>
          <w:ilvl w:val="1"/>
          <w:numId w:val="1"/>
        </w:numPr>
        <w:spacing w:before="180" w:after="180" w:line="276" w:lineRule="auto"/>
        <w:contextualSpacing w:val="0"/>
        <w:outlineLvl w:val="1"/>
        <w:rPr>
          <w:rFonts w:cs="Calibri"/>
          <w:b/>
          <w:szCs w:val="26"/>
        </w:rPr>
      </w:pPr>
      <w:r w:rsidRPr="00D271E6">
        <w:rPr>
          <w:rFonts w:cs="Calibri"/>
          <w:b/>
          <w:szCs w:val="26"/>
        </w:rPr>
        <w:t>Who is responsible for completing OCPM-required actions?</w:t>
      </w:r>
    </w:p>
    <w:p w14:paraId="042548CB" w14:textId="77777777" w:rsidR="00325A96" w:rsidRDefault="00325A96" w:rsidP="00325A96">
      <w:pPr>
        <w:spacing w:after="180"/>
        <w:rPr>
          <w:bCs/>
          <w:szCs w:val="26"/>
        </w:rPr>
      </w:pPr>
      <w:r>
        <w:rPr>
          <w:bCs/>
          <w:szCs w:val="26"/>
        </w:rPr>
        <w:t xml:space="preserve">The OCPM generally does not prescribe which staff role is responsible for completing a given task, </w:t>
      </w:r>
      <w:r w:rsidRPr="007F391C">
        <w:rPr>
          <w:bCs/>
          <w:i/>
          <w:iCs/>
          <w:szCs w:val="26"/>
        </w:rPr>
        <w:t>except</w:t>
      </w:r>
      <w:r>
        <w:rPr>
          <w:bCs/>
          <w:szCs w:val="26"/>
        </w:rPr>
        <w:t>:</w:t>
      </w:r>
    </w:p>
    <w:p w14:paraId="37B5190F" w14:textId="77777777" w:rsidR="00A66E9C" w:rsidRPr="00A66E9C" w:rsidRDefault="00A66E9C" w:rsidP="00A66E9C">
      <w:pPr>
        <w:pStyle w:val="ListParagraph"/>
        <w:numPr>
          <w:ilvl w:val="0"/>
          <w:numId w:val="5"/>
        </w:numPr>
        <w:spacing w:after="180" w:line="276" w:lineRule="auto"/>
        <w:contextualSpacing w:val="0"/>
        <w:rPr>
          <w:b/>
          <w:szCs w:val="26"/>
        </w:rPr>
      </w:pPr>
      <w:r>
        <w:rPr>
          <w:bCs/>
          <w:szCs w:val="26"/>
        </w:rPr>
        <w:lastRenderedPageBreak/>
        <w:t>When an authority requires an adjudicator to complete an action;</w:t>
      </w:r>
    </w:p>
    <w:p w14:paraId="529E4B91" w14:textId="61F2531E" w:rsidR="00A44170" w:rsidRPr="00A44170" w:rsidRDefault="00A66E9C" w:rsidP="00BA42B6">
      <w:pPr>
        <w:pStyle w:val="ListParagraph"/>
        <w:pBdr>
          <w:top w:val="single" w:sz="4" w:space="4" w:color="auto"/>
          <w:left w:val="single" w:sz="4" w:space="4" w:color="auto"/>
          <w:bottom w:val="single" w:sz="4" w:space="4" w:color="auto"/>
          <w:right w:val="single" w:sz="4" w:space="4" w:color="auto"/>
        </w:pBdr>
        <w:spacing w:after="180" w:line="276" w:lineRule="auto"/>
        <w:ind w:left="2160" w:hanging="1380"/>
        <w:contextualSpacing w:val="0"/>
        <w:rPr>
          <w:szCs w:val="26"/>
        </w:rPr>
      </w:pPr>
      <w:r>
        <w:rPr>
          <w:i/>
          <w:iCs/>
          <w:szCs w:val="26"/>
        </w:rPr>
        <w:t>Example</w:t>
      </w:r>
      <w:r>
        <w:rPr>
          <w:szCs w:val="26"/>
        </w:rPr>
        <w:t>:</w:t>
      </w:r>
      <w:r>
        <w:rPr>
          <w:szCs w:val="26"/>
        </w:rPr>
        <w:tab/>
        <w:t xml:space="preserve">In a Part A or Part B case, only an ALJ may determine the claims that a single appellant seeks to aggregate do not </w:t>
      </w:r>
      <w:r w:rsidRPr="003A1D6F">
        <w:rPr>
          <w:szCs w:val="26"/>
        </w:rPr>
        <w:t>involve the delivery of similar or related services, or the claims that multiple appellants seek to aggregate do not involve common issues of law and fact</w:t>
      </w:r>
      <w:r>
        <w:rPr>
          <w:szCs w:val="26"/>
        </w:rPr>
        <w:t>.</w:t>
      </w:r>
      <w:r>
        <w:rPr>
          <w:rStyle w:val="FootnoteReference"/>
          <w:szCs w:val="26"/>
        </w:rPr>
        <w:footnoteReference w:id="2"/>
      </w:r>
    </w:p>
    <w:p w14:paraId="43DD8CAB" w14:textId="77777777" w:rsidR="00A66E9C" w:rsidRPr="00A66E9C" w:rsidRDefault="00A66E9C" w:rsidP="00A66E9C">
      <w:pPr>
        <w:pStyle w:val="ListParagraph"/>
        <w:numPr>
          <w:ilvl w:val="0"/>
          <w:numId w:val="5"/>
        </w:numPr>
        <w:spacing w:before="180" w:after="180" w:line="276" w:lineRule="auto"/>
        <w:contextualSpacing w:val="0"/>
        <w:rPr>
          <w:b/>
          <w:szCs w:val="26"/>
        </w:rPr>
      </w:pPr>
      <w:r>
        <w:rPr>
          <w:bCs/>
          <w:szCs w:val="26"/>
        </w:rPr>
        <w:t>When an authority or OCPM provision requires the Chief ALJ, Deputy Chief ALJ, or Associate Chief ALJ (or a designee) to perform or approve an action; and</w:t>
      </w:r>
    </w:p>
    <w:p w14:paraId="3E581352" w14:textId="2E52051D" w:rsidR="00A44170" w:rsidRPr="00A44170" w:rsidRDefault="00A66E9C" w:rsidP="00BA42B6">
      <w:pPr>
        <w:pStyle w:val="ListParagraph"/>
        <w:pBdr>
          <w:top w:val="single" w:sz="4" w:space="4" w:color="auto"/>
          <w:left w:val="single" w:sz="4" w:space="4" w:color="auto"/>
          <w:bottom w:val="single" w:sz="4" w:space="4" w:color="auto"/>
          <w:right w:val="single" w:sz="4" w:space="4" w:color="auto"/>
        </w:pBdr>
        <w:spacing w:before="180" w:after="180" w:line="276" w:lineRule="auto"/>
        <w:ind w:left="2160" w:hanging="1380"/>
        <w:contextualSpacing w:val="0"/>
        <w:rPr>
          <w:szCs w:val="26"/>
        </w:rPr>
      </w:pPr>
      <w:r>
        <w:rPr>
          <w:i/>
          <w:iCs/>
          <w:szCs w:val="26"/>
        </w:rPr>
        <w:t>Example</w:t>
      </w:r>
      <w:r>
        <w:rPr>
          <w:szCs w:val="26"/>
        </w:rPr>
        <w:t>:</w:t>
      </w:r>
      <w:r>
        <w:rPr>
          <w:szCs w:val="26"/>
        </w:rPr>
        <w:tab/>
        <w:t xml:space="preserve">Upon a valid request filed by a party, CMS, a CMS contractor, or a Part D plan sponsor, only the Chief ALJ or a designee may review a </w:t>
      </w:r>
      <w:r w:rsidRPr="00A44170">
        <w:rPr>
          <w:szCs w:val="26"/>
        </w:rPr>
        <w:t>remand issued by an OMHA adjudicator (</w:t>
      </w:r>
      <w:r w:rsidRPr="00A44170">
        <w:rPr>
          <w:i/>
          <w:iCs/>
          <w:szCs w:val="26"/>
        </w:rPr>
        <w:t>see</w:t>
      </w:r>
      <w:r w:rsidRPr="00A44170">
        <w:rPr>
          <w:szCs w:val="26"/>
        </w:rPr>
        <w:t xml:space="preserve"> </w:t>
      </w:r>
      <w:hyperlink r:id="rId12" w:history="1">
        <w:r w:rsidRPr="00A44170">
          <w:rPr>
            <w:rStyle w:val="Hyperlink"/>
            <w:color w:val="0000FF"/>
            <w:szCs w:val="26"/>
          </w:rPr>
          <w:t>OCPM 20.8.2</w:t>
        </w:r>
      </w:hyperlink>
      <w:r w:rsidRPr="00A44170">
        <w:rPr>
          <w:szCs w:val="26"/>
        </w:rPr>
        <w:t>).</w:t>
      </w:r>
      <w:r>
        <w:rPr>
          <w:rStyle w:val="FootnoteReference"/>
          <w:szCs w:val="26"/>
        </w:rPr>
        <w:footnoteReference w:id="3"/>
      </w:r>
    </w:p>
    <w:p w14:paraId="751B543D" w14:textId="77777777" w:rsidR="00A66E9C" w:rsidRPr="00A66E9C" w:rsidRDefault="00A66E9C" w:rsidP="00A66E9C">
      <w:pPr>
        <w:pStyle w:val="ListParagraph"/>
        <w:numPr>
          <w:ilvl w:val="0"/>
          <w:numId w:val="5"/>
        </w:numPr>
        <w:spacing w:before="180" w:after="180" w:line="276" w:lineRule="auto"/>
        <w:contextualSpacing w:val="0"/>
        <w:rPr>
          <w:b/>
          <w:szCs w:val="26"/>
        </w:rPr>
      </w:pPr>
      <w:r>
        <w:rPr>
          <w:bCs/>
          <w:szCs w:val="26"/>
        </w:rPr>
        <w:t>When an OCPM provision requires a Hearing Office Director or OMHA headquarters division to complete or approve an action.</w:t>
      </w:r>
      <w:r w:rsidRPr="00A66E9C">
        <w:rPr>
          <w:i/>
          <w:iCs/>
          <w:szCs w:val="26"/>
        </w:rPr>
        <w:t xml:space="preserve"> </w:t>
      </w:r>
    </w:p>
    <w:p w14:paraId="719345DF" w14:textId="0950AAE3" w:rsidR="00A44170" w:rsidRPr="00A44170" w:rsidRDefault="00A66E9C" w:rsidP="00BA42B6">
      <w:pPr>
        <w:pStyle w:val="ListParagraph"/>
        <w:pBdr>
          <w:top w:val="single" w:sz="4" w:space="4" w:color="auto"/>
          <w:left w:val="single" w:sz="4" w:space="4" w:color="auto"/>
          <w:bottom w:val="single" w:sz="4" w:space="4" w:color="auto"/>
          <w:right w:val="single" w:sz="4" w:space="4" w:color="auto"/>
        </w:pBdr>
        <w:spacing w:before="180" w:after="180" w:line="276" w:lineRule="auto"/>
        <w:ind w:left="2160" w:hanging="1440"/>
        <w:contextualSpacing w:val="0"/>
        <w:rPr>
          <w:bCs/>
          <w:szCs w:val="26"/>
        </w:rPr>
      </w:pPr>
      <w:r>
        <w:rPr>
          <w:i/>
          <w:iCs/>
          <w:szCs w:val="26"/>
        </w:rPr>
        <w:t>Example</w:t>
      </w:r>
      <w:r>
        <w:rPr>
          <w:szCs w:val="26"/>
        </w:rPr>
        <w:t>:</w:t>
      </w:r>
      <w:r>
        <w:rPr>
          <w:szCs w:val="26"/>
        </w:rPr>
        <w:tab/>
        <w:t>After being notified by the adjudication team, Hearing Office Directors must contact OMHA Central Operations to coordinate re-establishing an appeal that was remanded by the Council and received in a field office instead of Central Operations (</w:t>
      </w:r>
      <w:r w:rsidRPr="003621FD">
        <w:rPr>
          <w:i/>
          <w:iCs/>
          <w:szCs w:val="26"/>
        </w:rPr>
        <w:t>see</w:t>
      </w:r>
      <w:r>
        <w:rPr>
          <w:szCs w:val="26"/>
        </w:rPr>
        <w:t xml:space="preserve"> </w:t>
      </w:r>
      <w:hyperlink r:id="rId13" w:history="1">
        <w:r w:rsidRPr="00920F27">
          <w:rPr>
            <w:rStyle w:val="Hyperlink"/>
            <w:color w:val="0000FF"/>
            <w:szCs w:val="26"/>
          </w:rPr>
          <w:t>OCPM 20.11.2</w:t>
        </w:r>
      </w:hyperlink>
      <w:r>
        <w:rPr>
          <w:szCs w:val="26"/>
        </w:rPr>
        <w:t>).</w:t>
      </w:r>
      <w:r>
        <w:rPr>
          <w:bCs/>
          <w:szCs w:val="26"/>
        </w:rPr>
        <w:t xml:space="preserve"> </w:t>
      </w:r>
    </w:p>
    <w:p w14:paraId="5996187C" w14:textId="349F21E1" w:rsidR="00814164" w:rsidRPr="00D271E6" w:rsidRDefault="00361A63" w:rsidP="004A3A68">
      <w:pPr>
        <w:pStyle w:val="ListParagraph"/>
        <w:keepNext/>
        <w:numPr>
          <w:ilvl w:val="1"/>
          <w:numId w:val="1"/>
        </w:numPr>
        <w:spacing w:before="180" w:after="180" w:line="276" w:lineRule="auto"/>
        <w:contextualSpacing w:val="0"/>
        <w:outlineLvl w:val="1"/>
        <w:rPr>
          <w:rFonts w:cs="Calibri"/>
          <w:b/>
          <w:szCs w:val="26"/>
        </w:rPr>
      </w:pPr>
      <w:r w:rsidRPr="00D271E6">
        <w:rPr>
          <w:rFonts w:cs="Calibri"/>
          <w:b/>
          <w:szCs w:val="26"/>
        </w:rPr>
        <w:t>How do I find an OMHA point of contact referenced in the OCPM?</w:t>
      </w:r>
    </w:p>
    <w:p w14:paraId="6E4CF38A" w14:textId="41F63C1B" w:rsidR="006F1624" w:rsidRPr="008F75D4" w:rsidRDefault="00DA4459">
      <w:pPr>
        <w:rPr>
          <w:rFonts w:cs="Calibri"/>
        </w:rPr>
      </w:pPr>
      <w:r>
        <w:rPr>
          <w:bCs/>
          <w:szCs w:val="26"/>
        </w:rPr>
        <w:t>Visit the Contacts section of the OMHA Portal (SharePoint) home page for headquarters and field office contact lists, as well as a listing of headquarters divisions and contact information for each division.</w:t>
      </w:r>
      <w:bookmarkStart w:id="8" w:name="_Ref513555860"/>
    </w:p>
    <w:p w14:paraId="47EB6161" w14:textId="77777777" w:rsidR="008F75D4" w:rsidRDefault="008F75D4">
      <w:pPr>
        <w:rPr>
          <w:rFonts w:cs="Calibri"/>
          <w:b/>
          <w:sz w:val="32"/>
          <w:szCs w:val="32"/>
        </w:rPr>
      </w:pPr>
      <w:bookmarkStart w:id="9" w:name="_Toc237517477"/>
      <w:r>
        <w:rPr>
          <w:rFonts w:cs="Calibri"/>
          <w:b/>
          <w:sz w:val="32"/>
          <w:szCs w:val="32"/>
        </w:rPr>
        <w:br w:type="page"/>
      </w:r>
    </w:p>
    <w:p w14:paraId="3711E607" w14:textId="1E6C9DB8" w:rsidR="00323DFA" w:rsidRDefault="007E17A7" w:rsidP="00192E4A">
      <w:pPr>
        <w:pStyle w:val="ListParagraph"/>
        <w:keepNext/>
        <w:numPr>
          <w:ilvl w:val="0"/>
          <w:numId w:val="1"/>
        </w:numPr>
        <w:spacing w:after="0" w:line="276" w:lineRule="auto"/>
        <w:contextualSpacing w:val="0"/>
        <w:outlineLvl w:val="0"/>
        <w:rPr>
          <w:rFonts w:cs="Calibri"/>
          <w:b/>
          <w:sz w:val="32"/>
          <w:szCs w:val="32"/>
        </w:rPr>
      </w:pPr>
      <w:r w:rsidRPr="00D271E6">
        <w:rPr>
          <w:rFonts w:cs="Calibri"/>
          <w:b/>
          <w:sz w:val="32"/>
          <w:szCs w:val="32"/>
        </w:rPr>
        <w:lastRenderedPageBreak/>
        <w:t>Acronyms, abbreviations, citations, and terminology</w:t>
      </w:r>
      <w:bookmarkEnd w:id="8"/>
      <w:bookmarkEnd w:id="9"/>
    </w:p>
    <w:p w14:paraId="245553F7" w14:textId="08187CD7" w:rsidR="00300E12" w:rsidRPr="001927C7" w:rsidRDefault="001927C7" w:rsidP="00361202">
      <w:pPr>
        <w:keepNext/>
        <w:spacing w:before="120" w:after="180"/>
        <w:rPr>
          <w:szCs w:val="26"/>
        </w:rPr>
      </w:pPr>
      <w:r w:rsidRPr="00FE1847">
        <w:rPr>
          <w:szCs w:val="26"/>
        </w:rPr>
        <w:t>(Issued: 05-25-18, Effective: 05-25-18)</w:t>
      </w:r>
    </w:p>
    <w:p w14:paraId="374CE8C5" w14:textId="77777777" w:rsidR="00842DE7" w:rsidRPr="00145181" w:rsidRDefault="00842DE7" w:rsidP="004A3A68">
      <w:pPr>
        <w:pStyle w:val="ListParagraph"/>
        <w:keepNext/>
        <w:numPr>
          <w:ilvl w:val="1"/>
          <w:numId w:val="1"/>
        </w:numPr>
        <w:spacing w:before="240" w:after="180" w:line="276" w:lineRule="auto"/>
        <w:contextualSpacing w:val="0"/>
        <w:outlineLvl w:val="1"/>
        <w:rPr>
          <w:b/>
          <w:sz w:val="32"/>
          <w:szCs w:val="32"/>
        </w:rPr>
      </w:pPr>
      <w:r>
        <w:rPr>
          <w:b/>
          <w:szCs w:val="26"/>
        </w:rPr>
        <w:t xml:space="preserve">What acronyms and abbreviations </w:t>
      </w:r>
      <w:proofErr w:type="gramStart"/>
      <w:r>
        <w:rPr>
          <w:b/>
          <w:szCs w:val="26"/>
        </w:rPr>
        <w:t>does</w:t>
      </w:r>
      <w:proofErr w:type="gramEnd"/>
      <w:r>
        <w:rPr>
          <w:b/>
          <w:szCs w:val="26"/>
        </w:rPr>
        <w:t xml:space="preserve"> the OCPM use?</w:t>
      </w:r>
    </w:p>
    <w:p w14:paraId="5040270B" w14:textId="77777777" w:rsidR="00145181" w:rsidRDefault="00145181" w:rsidP="00145181">
      <w:pPr>
        <w:spacing w:after="180"/>
        <w:rPr>
          <w:bCs/>
          <w:szCs w:val="26"/>
        </w:rPr>
      </w:pPr>
      <w:r>
        <w:rPr>
          <w:bCs/>
          <w:szCs w:val="26"/>
        </w:rPr>
        <w:t xml:space="preserve">Generally, when a term appears for the first time in a section, the term is spelled </w:t>
      </w:r>
      <w:proofErr w:type="gramStart"/>
      <w:r>
        <w:rPr>
          <w:bCs/>
          <w:szCs w:val="26"/>
        </w:rPr>
        <w:t>out</w:t>
      </w:r>
      <w:proofErr w:type="gramEnd"/>
      <w:r>
        <w:rPr>
          <w:bCs/>
          <w:szCs w:val="26"/>
        </w:rPr>
        <w:t xml:space="preserve"> </w:t>
      </w:r>
      <w:r w:rsidRPr="00075E4B">
        <w:rPr>
          <w:bCs/>
          <w:szCs w:val="26"/>
        </w:rPr>
        <w:t>and the acronym or abbreviation</w:t>
      </w:r>
      <w:r>
        <w:rPr>
          <w:bCs/>
          <w:szCs w:val="26"/>
        </w:rPr>
        <w:t xml:space="preserve"> is shown in parentheses. </w:t>
      </w:r>
      <w:r w:rsidRPr="00075E4B">
        <w:rPr>
          <w:bCs/>
          <w:szCs w:val="26"/>
        </w:rPr>
        <w:t xml:space="preserve">The acronym or abbreviation </w:t>
      </w:r>
      <w:r>
        <w:rPr>
          <w:bCs/>
          <w:szCs w:val="26"/>
        </w:rPr>
        <w:t>is then</w:t>
      </w:r>
      <w:r w:rsidRPr="00075E4B">
        <w:rPr>
          <w:bCs/>
          <w:szCs w:val="26"/>
        </w:rPr>
        <w:t xml:space="preserve"> used throughout the </w:t>
      </w:r>
      <w:proofErr w:type="gramStart"/>
      <w:r w:rsidRPr="00075E4B">
        <w:rPr>
          <w:bCs/>
          <w:szCs w:val="26"/>
        </w:rPr>
        <w:t>section, but</w:t>
      </w:r>
      <w:proofErr w:type="gramEnd"/>
      <w:r w:rsidRPr="00075E4B">
        <w:rPr>
          <w:bCs/>
          <w:szCs w:val="26"/>
        </w:rPr>
        <w:t xml:space="preserve"> </w:t>
      </w:r>
      <w:r>
        <w:rPr>
          <w:bCs/>
          <w:szCs w:val="26"/>
        </w:rPr>
        <w:t>may</w:t>
      </w:r>
      <w:r w:rsidRPr="00075E4B">
        <w:rPr>
          <w:bCs/>
          <w:szCs w:val="26"/>
        </w:rPr>
        <w:t xml:space="preserve"> not be shown if the term i</w:t>
      </w:r>
      <w:r>
        <w:rPr>
          <w:bCs/>
          <w:szCs w:val="26"/>
        </w:rPr>
        <w:t xml:space="preserve">s used only once in a section. </w:t>
      </w:r>
      <w:r w:rsidRPr="00075E4B">
        <w:rPr>
          <w:bCs/>
          <w:szCs w:val="26"/>
        </w:rPr>
        <w:t xml:space="preserve">However, there are some terms that are </w:t>
      </w:r>
      <w:r>
        <w:rPr>
          <w:bCs/>
          <w:szCs w:val="26"/>
        </w:rPr>
        <w:t>used so frequently</w:t>
      </w:r>
      <w:r w:rsidRPr="00075E4B">
        <w:rPr>
          <w:bCs/>
          <w:szCs w:val="26"/>
        </w:rPr>
        <w:t xml:space="preserve"> that they will always appear as acronyms or abbr</w:t>
      </w:r>
      <w:r>
        <w:rPr>
          <w:bCs/>
          <w:szCs w:val="26"/>
        </w:rPr>
        <w:t xml:space="preserve">eviations throughout the OCPM. </w:t>
      </w:r>
      <w:r w:rsidRPr="00075E4B">
        <w:rPr>
          <w:bCs/>
          <w:szCs w:val="26"/>
        </w:rPr>
        <w:t>They are:</w:t>
      </w:r>
    </w:p>
    <w:p w14:paraId="4826AA3C" w14:textId="77777777" w:rsidR="00145181" w:rsidRPr="002D32C4" w:rsidRDefault="00145181" w:rsidP="00A16AF1">
      <w:pPr>
        <w:spacing w:after="120" w:line="276" w:lineRule="auto"/>
        <w:ind w:left="2520" w:hanging="2520"/>
        <w:rPr>
          <w:szCs w:val="26"/>
        </w:rPr>
      </w:pPr>
      <w:r w:rsidRPr="002D32C4">
        <w:rPr>
          <w:szCs w:val="26"/>
        </w:rPr>
        <w:t>Act:</w:t>
      </w:r>
      <w:r w:rsidRPr="002D32C4">
        <w:rPr>
          <w:szCs w:val="26"/>
        </w:rPr>
        <w:tab/>
        <w:t>Social Security Act</w:t>
      </w:r>
    </w:p>
    <w:p w14:paraId="0E5DA674" w14:textId="77777777" w:rsidR="00145181" w:rsidRDefault="00145181" w:rsidP="00A16AF1">
      <w:pPr>
        <w:spacing w:after="120" w:line="276" w:lineRule="auto"/>
        <w:ind w:left="2520" w:hanging="2520"/>
        <w:rPr>
          <w:szCs w:val="26"/>
        </w:rPr>
      </w:pPr>
      <w:r w:rsidRPr="002D32C4">
        <w:rPr>
          <w:szCs w:val="26"/>
        </w:rPr>
        <w:t>AdQIC:</w:t>
      </w:r>
      <w:r w:rsidRPr="002D32C4">
        <w:rPr>
          <w:szCs w:val="26"/>
        </w:rPr>
        <w:tab/>
        <w:t>Administrative Qualified Independent Contractor</w:t>
      </w:r>
    </w:p>
    <w:p w14:paraId="39C75DC6" w14:textId="77777777" w:rsidR="00145181" w:rsidRPr="002D32C4" w:rsidRDefault="00145181" w:rsidP="00A16AF1">
      <w:pPr>
        <w:spacing w:after="120" w:line="276" w:lineRule="auto"/>
        <w:ind w:left="2520" w:hanging="2520"/>
        <w:rPr>
          <w:szCs w:val="26"/>
        </w:rPr>
      </w:pPr>
      <w:r w:rsidRPr="00B6035D">
        <w:rPr>
          <w:szCs w:val="26"/>
        </w:rPr>
        <w:t>AIC:</w:t>
      </w:r>
      <w:r w:rsidRPr="00B6035D">
        <w:rPr>
          <w:szCs w:val="26"/>
        </w:rPr>
        <w:tab/>
        <w:t>Amount in Controversy</w:t>
      </w:r>
    </w:p>
    <w:p w14:paraId="30654029" w14:textId="77777777" w:rsidR="00145181" w:rsidRPr="002D32C4" w:rsidRDefault="00145181" w:rsidP="00A16AF1">
      <w:pPr>
        <w:spacing w:after="120" w:line="276" w:lineRule="auto"/>
        <w:ind w:left="2520" w:hanging="2520"/>
        <w:rPr>
          <w:szCs w:val="26"/>
        </w:rPr>
      </w:pPr>
      <w:r w:rsidRPr="002D32C4">
        <w:rPr>
          <w:szCs w:val="26"/>
        </w:rPr>
        <w:t>ALJ:</w:t>
      </w:r>
      <w:r w:rsidRPr="002D32C4">
        <w:rPr>
          <w:szCs w:val="26"/>
        </w:rPr>
        <w:tab/>
        <w:t>Administrative Law Judge</w:t>
      </w:r>
    </w:p>
    <w:p w14:paraId="375B2675" w14:textId="77777777" w:rsidR="00145181" w:rsidRDefault="00145181" w:rsidP="00A16AF1">
      <w:pPr>
        <w:spacing w:after="120" w:line="276" w:lineRule="auto"/>
        <w:ind w:left="2520" w:hanging="2520"/>
        <w:rPr>
          <w:color w:val="000000"/>
          <w:szCs w:val="26"/>
        </w:rPr>
      </w:pPr>
      <w:r w:rsidRPr="002D32C4">
        <w:rPr>
          <w:szCs w:val="26"/>
        </w:rPr>
        <w:t>BIPA:</w:t>
      </w:r>
      <w:r w:rsidRPr="002D32C4">
        <w:rPr>
          <w:szCs w:val="26"/>
        </w:rPr>
        <w:tab/>
      </w:r>
      <w:r w:rsidRPr="002D32C4">
        <w:rPr>
          <w:color w:val="000000"/>
          <w:szCs w:val="26"/>
        </w:rPr>
        <w:t>Medicare, Medicaid, and SCHIP Benefits Improvement and Protection Act of 2000</w:t>
      </w:r>
    </w:p>
    <w:p w14:paraId="3EDF2DDF" w14:textId="77777777" w:rsidR="00145181" w:rsidRPr="002D32C4" w:rsidRDefault="00145181" w:rsidP="00A16AF1">
      <w:pPr>
        <w:spacing w:after="120" w:line="276" w:lineRule="auto"/>
        <w:ind w:left="2520" w:hanging="2520"/>
        <w:rPr>
          <w:szCs w:val="26"/>
        </w:rPr>
      </w:pPr>
      <w:r>
        <w:rPr>
          <w:szCs w:val="26"/>
        </w:rPr>
        <w:t>CFR:</w:t>
      </w:r>
      <w:r>
        <w:rPr>
          <w:szCs w:val="26"/>
        </w:rPr>
        <w:tab/>
        <w:t>Code of Federal Regulations</w:t>
      </w:r>
    </w:p>
    <w:p w14:paraId="12EF95E9" w14:textId="77777777" w:rsidR="00145181" w:rsidRPr="002D32C4" w:rsidRDefault="00145181" w:rsidP="00A16AF1">
      <w:pPr>
        <w:spacing w:after="120" w:line="276" w:lineRule="auto"/>
        <w:ind w:left="2520" w:hanging="2520"/>
        <w:rPr>
          <w:szCs w:val="26"/>
        </w:rPr>
      </w:pPr>
      <w:r w:rsidRPr="002D32C4">
        <w:rPr>
          <w:szCs w:val="26"/>
        </w:rPr>
        <w:t>CERT:</w:t>
      </w:r>
      <w:r w:rsidRPr="002D32C4">
        <w:rPr>
          <w:szCs w:val="26"/>
        </w:rPr>
        <w:tab/>
        <w:t>Comprehensive Error Rate Testing</w:t>
      </w:r>
    </w:p>
    <w:p w14:paraId="0C56D394" w14:textId="77777777" w:rsidR="00145181" w:rsidRPr="002D32C4" w:rsidRDefault="00145181" w:rsidP="00A16AF1">
      <w:pPr>
        <w:spacing w:after="120" w:line="276" w:lineRule="auto"/>
        <w:ind w:left="2520" w:hanging="2520"/>
        <w:rPr>
          <w:szCs w:val="26"/>
        </w:rPr>
      </w:pPr>
      <w:r w:rsidRPr="002D32C4">
        <w:rPr>
          <w:szCs w:val="26"/>
        </w:rPr>
        <w:t>CMS:</w:t>
      </w:r>
      <w:r w:rsidRPr="002D32C4">
        <w:rPr>
          <w:szCs w:val="26"/>
        </w:rPr>
        <w:tab/>
        <w:t>Centers for Medicare &amp; Medicaid Services</w:t>
      </w:r>
    </w:p>
    <w:p w14:paraId="79FF96A0" w14:textId="77777777" w:rsidR="00145181" w:rsidRPr="002D32C4" w:rsidRDefault="00145181" w:rsidP="00A16AF1">
      <w:pPr>
        <w:spacing w:after="120" w:line="276" w:lineRule="auto"/>
        <w:ind w:left="2520" w:hanging="2520"/>
        <w:rPr>
          <w:szCs w:val="26"/>
        </w:rPr>
      </w:pPr>
      <w:r w:rsidRPr="002D32C4">
        <w:rPr>
          <w:szCs w:val="26"/>
        </w:rPr>
        <w:t>Council:</w:t>
      </w:r>
      <w:r w:rsidRPr="002D32C4">
        <w:rPr>
          <w:szCs w:val="26"/>
        </w:rPr>
        <w:tab/>
        <w:t>Medicare Appeals Council</w:t>
      </w:r>
    </w:p>
    <w:p w14:paraId="5D426B5D" w14:textId="77777777" w:rsidR="00145181" w:rsidRDefault="00145181" w:rsidP="00A16AF1">
      <w:pPr>
        <w:spacing w:after="120" w:line="276" w:lineRule="auto"/>
        <w:ind w:left="2520" w:hanging="2520"/>
        <w:rPr>
          <w:szCs w:val="26"/>
        </w:rPr>
      </w:pPr>
      <w:r w:rsidRPr="002D32C4">
        <w:rPr>
          <w:szCs w:val="26"/>
        </w:rPr>
        <w:t>DAB:</w:t>
      </w:r>
      <w:r w:rsidRPr="002D32C4">
        <w:rPr>
          <w:szCs w:val="26"/>
        </w:rPr>
        <w:tab/>
        <w:t>Departmental Appeals Board</w:t>
      </w:r>
    </w:p>
    <w:p w14:paraId="581DB6B6" w14:textId="77777777" w:rsidR="00145181" w:rsidRDefault="00145181" w:rsidP="00A16AF1">
      <w:pPr>
        <w:spacing w:after="120" w:line="276" w:lineRule="auto"/>
        <w:ind w:left="2520" w:hanging="2520"/>
        <w:rPr>
          <w:szCs w:val="26"/>
        </w:rPr>
      </w:pPr>
      <w:r w:rsidRPr="00B6035D">
        <w:rPr>
          <w:szCs w:val="26"/>
        </w:rPr>
        <w:t>FOIA:</w:t>
      </w:r>
      <w:r w:rsidRPr="00B6035D">
        <w:rPr>
          <w:szCs w:val="26"/>
        </w:rPr>
        <w:tab/>
        <w:t>Freedom of Information Act</w:t>
      </w:r>
    </w:p>
    <w:p w14:paraId="06F73B7D" w14:textId="77777777" w:rsidR="00145181" w:rsidRDefault="00145181" w:rsidP="00A16AF1">
      <w:pPr>
        <w:spacing w:after="120" w:line="276" w:lineRule="auto"/>
        <w:ind w:left="2520" w:hanging="2520"/>
        <w:rPr>
          <w:szCs w:val="26"/>
        </w:rPr>
      </w:pPr>
      <w:r w:rsidRPr="002D32C4">
        <w:rPr>
          <w:szCs w:val="26"/>
        </w:rPr>
        <w:t>HHS:</w:t>
      </w:r>
      <w:r w:rsidRPr="002D32C4">
        <w:rPr>
          <w:szCs w:val="26"/>
        </w:rPr>
        <w:tab/>
        <w:t>U.S. Department of Health and Human Services</w:t>
      </w:r>
    </w:p>
    <w:p w14:paraId="55B1D5F1" w14:textId="77777777" w:rsidR="00145181" w:rsidRPr="002D32C4" w:rsidRDefault="00145181" w:rsidP="00A16AF1">
      <w:pPr>
        <w:spacing w:after="120" w:line="276" w:lineRule="auto"/>
        <w:ind w:left="2520" w:hanging="2520"/>
        <w:rPr>
          <w:szCs w:val="26"/>
        </w:rPr>
      </w:pPr>
      <w:r w:rsidRPr="00B6035D">
        <w:rPr>
          <w:szCs w:val="26"/>
        </w:rPr>
        <w:t>HICN:</w:t>
      </w:r>
      <w:r w:rsidRPr="00B6035D">
        <w:rPr>
          <w:szCs w:val="26"/>
        </w:rPr>
        <w:tab/>
        <w:t>Health Insurance Claim Number</w:t>
      </w:r>
    </w:p>
    <w:p w14:paraId="22696CD9" w14:textId="77777777" w:rsidR="00145181" w:rsidRDefault="00145181" w:rsidP="00A16AF1">
      <w:pPr>
        <w:spacing w:after="120" w:line="276" w:lineRule="auto"/>
        <w:ind w:left="2520" w:hanging="2520"/>
        <w:rPr>
          <w:szCs w:val="26"/>
        </w:rPr>
      </w:pPr>
      <w:r w:rsidRPr="002D32C4">
        <w:rPr>
          <w:szCs w:val="26"/>
        </w:rPr>
        <w:t>IRE:</w:t>
      </w:r>
      <w:r w:rsidRPr="002D32C4">
        <w:rPr>
          <w:szCs w:val="26"/>
        </w:rPr>
        <w:tab/>
        <w:t>Independent Review Entity</w:t>
      </w:r>
    </w:p>
    <w:p w14:paraId="418182B2" w14:textId="77777777" w:rsidR="00145181" w:rsidRPr="002D32C4" w:rsidRDefault="00145181" w:rsidP="00A16AF1">
      <w:pPr>
        <w:spacing w:after="120" w:line="276" w:lineRule="auto"/>
        <w:ind w:left="2520" w:hanging="2520"/>
        <w:rPr>
          <w:szCs w:val="26"/>
        </w:rPr>
      </w:pPr>
      <w:r w:rsidRPr="00B6035D">
        <w:rPr>
          <w:szCs w:val="26"/>
        </w:rPr>
        <w:t>IRMAA:</w:t>
      </w:r>
      <w:r w:rsidRPr="00B6035D">
        <w:rPr>
          <w:szCs w:val="26"/>
        </w:rPr>
        <w:tab/>
        <w:t>Income Related Monthly Adjustment Amount</w:t>
      </w:r>
    </w:p>
    <w:p w14:paraId="207FB38B" w14:textId="77777777" w:rsidR="00145181" w:rsidRDefault="00145181" w:rsidP="00A16AF1">
      <w:pPr>
        <w:spacing w:after="120" w:line="276" w:lineRule="auto"/>
        <w:ind w:left="2520" w:hanging="2520"/>
        <w:rPr>
          <w:szCs w:val="26"/>
        </w:rPr>
      </w:pPr>
      <w:r w:rsidRPr="002D32C4">
        <w:rPr>
          <w:szCs w:val="26"/>
        </w:rPr>
        <w:t>IRS:</w:t>
      </w:r>
      <w:r w:rsidRPr="002D32C4">
        <w:rPr>
          <w:szCs w:val="26"/>
        </w:rPr>
        <w:tab/>
        <w:t>Internal Revenue Service</w:t>
      </w:r>
    </w:p>
    <w:p w14:paraId="5E179CE8" w14:textId="77777777" w:rsidR="00145181" w:rsidRPr="002D32C4" w:rsidRDefault="00145181" w:rsidP="00A16AF1">
      <w:pPr>
        <w:spacing w:after="120" w:line="276" w:lineRule="auto"/>
        <w:ind w:left="2520" w:hanging="2520"/>
        <w:rPr>
          <w:szCs w:val="26"/>
        </w:rPr>
      </w:pPr>
      <w:r>
        <w:rPr>
          <w:szCs w:val="26"/>
        </w:rPr>
        <w:t>LCD:</w:t>
      </w:r>
      <w:r>
        <w:rPr>
          <w:szCs w:val="26"/>
        </w:rPr>
        <w:tab/>
        <w:t>Local Coverage Determination</w:t>
      </w:r>
    </w:p>
    <w:p w14:paraId="4AEB6013" w14:textId="77777777" w:rsidR="00145181" w:rsidRDefault="00145181" w:rsidP="00A16AF1">
      <w:pPr>
        <w:spacing w:after="120" w:line="276" w:lineRule="auto"/>
        <w:ind w:left="2520" w:hanging="2520"/>
        <w:rPr>
          <w:szCs w:val="26"/>
        </w:rPr>
      </w:pPr>
      <w:r w:rsidRPr="002D32C4">
        <w:rPr>
          <w:szCs w:val="26"/>
        </w:rPr>
        <w:t>MA</w:t>
      </w:r>
      <w:r>
        <w:rPr>
          <w:szCs w:val="26"/>
        </w:rPr>
        <w:t>:</w:t>
      </w:r>
      <w:r w:rsidRPr="002D32C4">
        <w:rPr>
          <w:szCs w:val="26"/>
        </w:rPr>
        <w:tab/>
        <w:t>Medicare Advantage</w:t>
      </w:r>
    </w:p>
    <w:p w14:paraId="42D1930B" w14:textId="77777777" w:rsidR="00145181" w:rsidRPr="002D32C4" w:rsidRDefault="00145181" w:rsidP="00A16AF1">
      <w:pPr>
        <w:spacing w:after="120" w:line="276" w:lineRule="auto"/>
        <w:ind w:left="2520" w:hanging="2520"/>
        <w:rPr>
          <w:szCs w:val="26"/>
        </w:rPr>
      </w:pPr>
      <w:r w:rsidRPr="00B6035D">
        <w:rPr>
          <w:szCs w:val="26"/>
        </w:rPr>
        <w:t>MAC:</w:t>
      </w:r>
      <w:r w:rsidRPr="00B6035D">
        <w:rPr>
          <w:szCs w:val="26"/>
        </w:rPr>
        <w:tab/>
        <w:t>Medicare Administrative Contractor</w:t>
      </w:r>
    </w:p>
    <w:p w14:paraId="6102A90D" w14:textId="16C3D27C" w:rsidR="00A16AF1" w:rsidRPr="002D32C4" w:rsidRDefault="00145181" w:rsidP="00A16AF1">
      <w:pPr>
        <w:spacing w:after="120" w:line="276" w:lineRule="auto"/>
        <w:ind w:left="2520" w:hanging="2520"/>
        <w:rPr>
          <w:szCs w:val="26"/>
        </w:rPr>
      </w:pPr>
      <w:r w:rsidRPr="002D32C4">
        <w:rPr>
          <w:szCs w:val="26"/>
        </w:rPr>
        <w:t>MAO:</w:t>
      </w:r>
      <w:r w:rsidRPr="002D32C4">
        <w:rPr>
          <w:szCs w:val="26"/>
        </w:rPr>
        <w:tab/>
        <w:t>Medicare Advantage Organization</w:t>
      </w:r>
    </w:p>
    <w:p w14:paraId="7092B19D" w14:textId="77777777" w:rsidR="00145181" w:rsidRDefault="00145181" w:rsidP="00574DA8">
      <w:pPr>
        <w:spacing w:after="120" w:line="288" w:lineRule="auto"/>
        <w:ind w:left="2520" w:hanging="2520"/>
        <w:rPr>
          <w:szCs w:val="26"/>
        </w:rPr>
      </w:pPr>
      <w:r w:rsidRPr="002D32C4">
        <w:rPr>
          <w:szCs w:val="26"/>
        </w:rPr>
        <w:lastRenderedPageBreak/>
        <w:t>MATS:</w:t>
      </w:r>
      <w:r w:rsidRPr="002D32C4">
        <w:rPr>
          <w:szCs w:val="26"/>
        </w:rPr>
        <w:tab/>
        <w:t>Medicare Appeals Template System</w:t>
      </w:r>
    </w:p>
    <w:p w14:paraId="46B4CA32" w14:textId="77777777" w:rsidR="00145181" w:rsidRPr="00444D5E" w:rsidRDefault="00145181" w:rsidP="00574DA8">
      <w:pPr>
        <w:spacing w:after="120" w:line="288" w:lineRule="auto"/>
        <w:ind w:left="2520" w:hanging="2520"/>
        <w:rPr>
          <w:szCs w:val="26"/>
        </w:rPr>
      </w:pPr>
      <w:r w:rsidRPr="00B6035D">
        <w:rPr>
          <w:szCs w:val="26"/>
        </w:rPr>
        <w:t>MBI:</w:t>
      </w:r>
      <w:r w:rsidRPr="00B6035D">
        <w:rPr>
          <w:szCs w:val="26"/>
        </w:rPr>
        <w:tab/>
        <w:t>Medicare Beneficiary Identifier</w:t>
      </w:r>
    </w:p>
    <w:p w14:paraId="20BDCB3D" w14:textId="77777777" w:rsidR="00145181" w:rsidRPr="00B6035D" w:rsidRDefault="00145181" w:rsidP="00574DA8">
      <w:pPr>
        <w:autoSpaceDE w:val="0"/>
        <w:autoSpaceDN w:val="0"/>
        <w:adjustRightInd w:val="0"/>
        <w:spacing w:after="120" w:line="288" w:lineRule="auto"/>
        <w:ind w:left="2520" w:hanging="2520"/>
        <w:rPr>
          <w:rFonts w:cs="Melior"/>
          <w:szCs w:val="26"/>
        </w:rPr>
      </w:pPr>
      <w:r w:rsidRPr="002D32C4">
        <w:rPr>
          <w:szCs w:val="26"/>
        </w:rPr>
        <w:t>MMA:</w:t>
      </w:r>
      <w:r w:rsidRPr="002D32C4">
        <w:rPr>
          <w:szCs w:val="26"/>
        </w:rPr>
        <w:tab/>
      </w:r>
      <w:r w:rsidRPr="002D32C4">
        <w:rPr>
          <w:rFonts w:cs="Melior"/>
          <w:szCs w:val="26"/>
        </w:rPr>
        <w:t xml:space="preserve">Medicare Prescription Drug, Improvement, and Modernization </w:t>
      </w:r>
      <w:r w:rsidRPr="00B6035D">
        <w:rPr>
          <w:rFonts w:cs="Melior"/>
          <w:szCs w:val="26"/>
        </w:rPr>
        <w:t>Act of 2003</w:t>
      </w:r>
    </w:p>
    <w:p w14:paraId="2C2AAC4B" w14:textId="77777777" w:rsidR="00145181" w:rsidRPr="00B6035D" w:rsidRDefault="00145181" w:rsidP="00574DA8">
      <w:pPr>
        <w:autoSpaceDE w:val="0"/>
        <w:autoSpaceDN w:val="0"/>
        <w:adjustRightInd w:val="0"/>
        <w:spacing w:after="120" w:line="288" w:lineRule="auto"/>
        <w:ind w:left="2520" w:hanging="2520"/>
        <w:rPr>
          <w:rFonts w:cs="Melior"/>
          <w:szCs w:val="26"/>
        </w:rPr>
      </w:pPr>
      <w:r w:rsidRPr="00B6035D">
        <w:rPr>
          <w:szCs w:val="26"/>
        </w:rPr>
        <w:t>MSP:</w:t>
      </w:r>
      <w:r w:rsidRPr="00B6035D">
        <w:rPr>
          <w:szCs w:val="26"/>
        </w:rPr>
        <w:tab/>
        <w:t>Medicare Secondary Payer</w:t>
      </w:r>
    </w:p>
    <w:p w14:paraId="7C207782" w14:textId="77777777" w:rsidR="00145181" w:rsidRPr="002D32C4" w:rsidRDefault="00145181" w:rsidP="00574DA8">
      <w:pPr>
        <w:autoSpaceDE w:val="0"/>
        <w:autoSpaceDN w:val="0"/>
        <w:adjustRightInd w:val="0"/>
        <w:spacing w:after="120" w:line="288" w:lineRule="auto"/>
        <w:ind w:left="2520" w:hanging="2520"/>
        <w:rPr>
          <w:rFonts w:cs="Melior"/>
          <w:szCs w:val="26"/>
        </w:rPr>
      </w:pPr>
      <w:r w:rsidRPr="00B6035D">
        <w:rPr>
          <w:szCs w:val="26"/>
        </w:rPr>
        <w:t>NCD:</w:t>
      </w:r>
      <w:r w:rsidRPr="00B6035D">
        <w:rPr>
          <w:szCs w:val="26"/>
        </w:rPr>
        <w:tab/>
        <w:t>National Coverage Determination</w:t>
      </w:r>
    </w:p>
    <w:p w14:paraId="0495B443" w14:textId="77777777" w:rsidR="00145181" w:rsidRDefault="00145181" w:rsidP="00574DA8">
      <w:pPr>
        <w:autoSpaceDE w:val="0"/>
        <w:autoSpaceDN w:val="0"/>
        <w:adjustRightInd w:val="0"/>
        <w:spacing w:after="120" w:line="288" w:lineRule="auto"/>
        <w:ind w:left="2520" w:hanging="2520"/>
        <w:rPr>
          <w:szCs w:val="26"/>
        </w:rPr>
      </w:pPr>
      <w:r w:rsidRPr="002D32C4">
        <w:rPr>
          <w:szCs w:val="26"/>
        </w:rPr>
        <w:t>OCPM:</w:t>
      </w:r>
      <w:r w:rsidRPr="002D32C4">
        <w:rPr>
          <w:szCs w:val="26"/>
        </w:rPr>
        <w:tab/>
        <w:t>OMHA Case Processing Manual</w:t>
      </w:r>
    </w:p>
    <w:p w14:paraId="7E310F88" w14:textId="77777777" w:rsidR="00145181" w:rsidRPr="002D32C4" w:rsidRDefault="00145181" w:rsidP="00574DA8">
      <w:pPr>
        <w:autoSpaceDE w:val="0"/>
        <w:autoSpaceDN w:val="0"/>
        <w:adjustRightInd w:val="0"/>
        <w:spacing w:after="120" w:line="288" w:lineRule="auto"/>
        <w:ind w:left="2520" w:hanging="2520"/>
        <w:rPr>
          <w:szCs w:val="26"/>
        </w:rPr>
      </w:pPr>
      <w:r w:rsidRPr="00B6035D">
        <w:rPr>
          <w:szCs w:val="26"/>
        </w:rPr>
        <w:t>OIG:</w:t>
      </w:r>
      <w:r w:rsidRPr="00B6035D">
        <w:rPr>
          <w:szCs w:val="26"/>
        </w:rPr>
        <w:tab/>
        <w:t>HHS Office of Inspector General</w:t>
      </w:r>
    </w:p>
    <w:p w14:paraId="3B2DC027" w14:textId="77777777" w:rsidR="00145181" w:rsidRDefault="00145181" w:rsidP="00574DA8">
      <w:pPr>
        <w:spacing w:after="120" w:line="288" w:lineRule="auto"/>
        <w:ind w:left="2520" w:hanging="2520"/>
        <w:rPr>
          <w:szCs w:val="26"/>
        </w:rPr>
      </w:pPr>
      <w:r w:rsidRPr="002D32C4">
        <w:rPr>
          <w:szCs w:val="26"/>
        </w:rPr>
        <w:t>OMHA:</w:t>
      </w:r>
      <w:r w:rsidRPr="002D32C4">
        <w:rPr>
          <w:szCs w:val="26"/>
        </w:rPr>
        <w:tab/>
        <w:t>Office of Medicare Hearings and Appeals</w:t>
      </w:r>
    </w:p>
    <w:p w14:paraId="653179CC" w14:textId="77777777" w:rsidR="00145181" w:rsidRPr="002D32C4" w:rsidRDefault="00145181" w:rsidP="00574DA8">
      <w:pPr>
        <w:spacing w:after="120" w:line="288" w:lineRule="auto"/>
        <w:ind w:left="2520" w:hanging="2520"/>
        <w:rPr>
          <w:szCs w:val="26"/>
        </w:rPr>
      </w:pPr>
      <w:r w:rsidRPr="002D32C4">
        <w:rPr>
          <w:szCs w:val="26"/>
        </w:rPr>
        <w:t>PHI</w:t>
      </w:r>
      <w:r>
        <w:rPr>
          <w:szCs w:val="26"/>
        </w:rPr>
        <w:t>:</w:t>
      </w:r>
      <w:r w:rsidRPr="002D32C4">
        <w:rPr>
          <w:szCs w:val="26"/>
        </w:rPr>
        <w:tab/>
        <w:t>Protected Health Information</w:t>
      </w:r>
    </w:p>
    <w:p w14:paraId="361A7AF3" w14:textId="77777777" w:rsidR="00145181" w:rsidRPr="002D32C4" w:rsidRDefault="00145181" w:rsidP="00574DA8">
      <w:pPr>
        <w:spacing w:after="120" w:line="288" w:lineRule="auto"/>
        <w:ind w:left="2520" w:hanging="2520"/>
        <w:rPr>
          <w:szCs w:val="26"/>
        </w:rPr>
      </w:pPr>
      <w:r w:rsidRPr="002D32C4">
        <w:rPr>
          <w:szCs w:val="26"/>
        </w:rPr>
        <w:t>PII</w:t>
      </w:r>
      <w:r>
        <w:rPr>
          <w:szCs w:val="26"/>
        </w:rPr>
        <w:t>:</w:t>
      </w:r>
      <w:r w:rsidRPr="002D32C4">
        <w:rPr>
          <w:szCs w:val="26"/>
        </w:rPr>
        <w:tab/>
        <w:t>Personally Identifiable Information</w:t>
      </w:r>
    </w:p>
    <w:p w14:paraId="30EB8F13" w14:textId="77777777" w:rsidR="00145181" w:rsidRPr="002D32C4" w:rsidRDefault="00145181" w:rsidP="00574DA8">
      <w:pPr>
        <w:spacing w:after="120" w:line="288" w:lineRule="auto"/>
        <w:ind w:left="2520" w:hanging="2520"/>
        <w:rPr>
          <w:szCs w:val="26"/>
        </w:rPr>
      </w:pPr>
      <w:r w:rsidRPr="002D32C4">
        <w:rPr>
          <w:szCs w:val="26"/>
        </w:rPr>
        <w:t>PSC:</w:t>
      </w:r>
      <w:r w:rsidRPr="002D32C4">
        <w:rPr>
          <w:szCs w:val="26"/>
        </w:rPr>
        <w:tab/>
        <w:t>Program Safeguard Contractor</w:t>
      </w:r>
    </w:p>
    <w:p w14:paraId="57DC9ABA" w14:textId="77777777" w:rsidR="00145181" w:rsidRPr="002D32C4" w:rsidRDefault="00145181" w:rsidP="00574DA8">
      <w:pPr>
        <w:spacing w:after="120" w:line="288" w:lineRule="auto"/>
        <w:ind w:left="2520" w:hanging="2520"/>
        <w:rPr>
          <w:szCs w:val="26"/>
        </w:rPr>
      </w:pPr>
      <w:r w:rsidRPr="002D32C4">
        <w:rPr>
          <w:szCs w:val="26"/>
        </w:rPr>
        <w:t>QIC:</w:t>
      </w:r>
      <w:r w:rsidRPr="002D32C4">
        <w:rPr>
          <w:szCs w:val="26"/>
        </w:rPr>
        <w:tab/>
        <w:t>Q</w:t>
      </w:r>
      <w:r>
        <w:rPr>
          <w:szCs w:val="26"/>
        </w:rPr>
        <w:t>ualified Independent Contractor</w:t>
      </w:r>
    </w:p>
    <w:p w14:paraId="4528AEB5" w14:textId="77777777" w:rsidR="00145181" w:rsidRPr="002D32C4" w:rsidRDefault="00145181" w:rsidP="00574DA8">
      <w:pPr>
        <w:spacing w:after="120" w:line="288" w:lineRule="auto"/>
        <w:ind w:left="2520" w:hanging="2520"/>
        <w:rPr>
          <w:szCs w:val="26"/>
        </w:rPr>
      </w:pPr>
      <w:r w:rsidRPr="002D32C4">
        <w:rPr>
          <w:szCs w:val="26"/>
        </w:rPr>
        <w:t>QIO:</w:t>
      </w:r>
      <w:r w:rsidRPr="002D32C4">
        <w:rPr>
          <w:szCs w:val="26"/>
        </w:rPr>
        <w:tab/>
        <w:t>Qu</w:t>
      </w:r>
      <w:r>
        <w:rPr>
          <w:szCs w:val="26"/>
        </w:rPr>
        <w:t>ality Improvement Organization</w:t>
      </w:r>
    </w:p>
    <w:p w14:paraId="44C32720" w14:textId="77777777" w:rsidR="00145181" w:rsidRPr="002D32C4" w:rsidRDefault="00145181" w:rsidP="00574DA8">
      <w:pPr>
        <w:spacing w:after="120" w:line="288" w:lineRule="auto"/>
        <w:ind w:left="2520" w:hanging="2520"/>
        <w:rPr>
          <w:szCs w:val="26"/>
        </w:rPr>
      </w:pPr>
      <w:r w:rsidRPr="00B6035D">
        <w:rPr>
          <w:szCs w:val="26"/>
        </w:rPr>
        <w:t>RAC:</w:t>
      </w:r>
      <w:r w:rsidRPr="00B6035D">
        <w:rPr>
          <w:szCs w:val="26"/>
        </w:rPr>
        <w:tab/>
        <w:t>Recovery Audit Contractor</w:t>
      </w:r>
    </w:p>
    <w:p w14:paraId="0DC0DA82" w14:textId="77777777" w:rsidR="00145181" w:rsidRPr="00B6035D" w:rsidRDefault="00145181" w:rsidP="00574DA8">
      <w:pPr>
        <w:spacing w:after="120" w:line="288" w:lineRule="auto"/>
        <w:ind w:left="2520" w:hanging="2520"/>
        <w:rPr>
          <w:szCs w:val="26"/>
        </w:rPr>
      </w:pPr>
      <w:r w:rsidRPr="00B6035D">
        <w:rPr>
          <w:szCs w:val="26"/>
        </w:rPr>
        <w:t>SSA:</w:t>
      </w:r>
      <w:r w:rsidRPr="00B6035D">
        <w:rPr>
          <w:szCs w:val="26"/>
        </w:rPr>
        <w:tab/>
        <w:t xml:space="preserve">Social Security Administration </w:t>
      </w:r>
    </w:p>
    <w:p w14:paraId="3A8B6593" w14:textId="77777777" w:rsidR="00145181" w:rsidRPr="00B6035D" w:rsidRDefault="00145181" w:rsidP="00574DA8">
      <w:pPr>
        <w:spacing w:after="120" w:line="288" w:lineRule="auto"/>
        <w:ind w:left="2520" w:hanging="2520"/>
        <w:rPr>
          <w:szCs w:val="26"/>
        </w:rPr>
      </w:pPr>
      <w:r w:rsidRPr="00B6035D">
        <w:rPr>
          <w:szCs w:val="26"/>
        </w:rPr>
        <w:t>UPIC:</w:t>
      </w:r>
      <w:r w:rsidRPr="00B6035D">
        <w:rPr>
          <w:szCs w:val="26"/>
        </w:rPr>
        <w:tab/>
        <w:t>Unified Program Integrity Contractor</w:t>
      </w:r>
    </w:p>
    <w:p w14:paraId="10C482A9" w14:textId="77777777" w:rsidR="00145181" w:rsidRPr="002D32C4" w:rsidRDefault="00145181" w:rsidP="00574DA8">
      <w:pPr>
        <w:spacing w:after="120" w:line="288" w:lineRule="auto"/>
        <w:ind w:left="2520" w:hanging="2520"/>
        <w:rPr>
          <w:szCs w:val="26"/>
        </w:rPr>
      </w:pPr>
      <w:r w:rsidRPr="00B6035D">
        <w:rPr>
          <w:szCs w:val="26"/>
        </w:rPr>
        <w:t>VTC:</w:t>
      </w:r>
      <w:r w:rsidRPr="00B6035D">
        <w:rPr>
          <w:szCs w:val="26"/>
        </w:rPr>
        <w:tab/>
        <w:t>Video-teleconference</w:t>
      </w:r>
    </w:p>
    <w:p w14:paraId="0E0A7236" w14:textId="6C68E5BC" w:rsidR="00145181" w:rsidRPr="00FA7372" w:rsidRDefault="00145181" w:rsidP="00574DA8">
      <w:pPr>
        <w:spacing w:after="180" w:line="288" w:lineRule="auto"/>
        <w:ind w:left="2520" w:hanging="2520"/>
        <w:rPr>
          <w:szCs w:val="26"/>
        </w:rPr>
      </w:pPr>
      <w:r>
        <w:rPr>
          <w:szCs w:val="26"/>
        </w:rPr>
        <w:t>Z</w:t>
      </w:r>
      <w:r w:rsidRPr="002D32C4">
        <w:rPr>
          <w:szCs w:val="26"/>
        </w:rPr>
        <w:t>PIC:</w:t>
      </w:r>
      <w:r w:rsidRPr="002D32C4">
        <w:rPr>
          <w:szCs w:val="26"/>
        </w:rPr>
        <w:tab/>
        <w:t>Zone Program Integrity Contractor</w:t>
      </w:r>
    </w:p>
    <w:p w14:paraId="384AC0F0" w14:textId="30299955" w:rsidR="00145181" w:rsidRDefault="00D63F2E" w:rsidP="004A3A68">
      <w:pPr>
        <w:pStyle w:val="ListParagraph"/>
        <w:keepNext/>
        <w:numPr>
          <w:ilvl w:val="1"/>
          <w:numId w:val="1"/>
        </w:numPr>
        <w:spacing w:before="120" w:after="180" w:line="276" w:lineRule="auto"/>
        <w:contextualSpacing w:val="0"/>
        <w:outlineLvl w:val="1"/>
        <w:rPr>
          <w:b/>
          <w:szCs w:val="26"/>
        </w:rPr>
      </w:pPr>
      <w:r>
        <w:rPr>
          <w:b/>
          <w:szCs w:val="26"/>
        </w:rPr>
        <w:t>What citations are included in the OCPM?</w:t>
      </w:r>
    </w:p>
    <w:p w14:paraId="6B36BBF5" w14:textId="1F7DDE6A" w:rsidR="00145181" w:rsidRPr="00B87B0C" w:rsidRDefault="00B87B0C" w:rsidP="00574DA8">
      <w:pPr>
        <w:spacing w:before="240" w:after="180" w:line="276" w:lineRule="auto"/>
        <w:rPr>
          <w:bCs/>
          <w:szCs w:val="26"/>
        </w:rPr>
      </w:pPr>
      <w:r>
        <w:rPr>
          <w:bCs/>
          <w:szCs w:val="26"/>
        </w:rPr>
        <w:t>Where a controlling authority (for example, a statute, regulation, CMS Ruling, or CMS program guidance) is directly applicable, a citation to the authority is included as a footnote to the text.</w:t>
      </w:r>
    </w:p>
    <w:p w14:paraId="01CCF13F" w14:textId="77777777" w:rsidR="00CE2910" w:rsidRDefault="00CE2910" w:rsidP="004A3A68">
      <w:pPr>
        <w:pStyle w:val="ListParagraph"/>
        <w:keepNext/>
        <w:numPr>
          <w:ilvl w:val="1"/>
          <w:numId w:val="1"/>
        </w:numPr>
        <w:spacing w:before="120" w:after="180" w:line="276" w:lineRule="auto"/>
        <w:contextualSpacing w:val="0"/>
        <w:outlineLvl w:val="1"/>
        <w:rPr>
          <w:b/>
          <w:szCs w:val="26"/>
        </w:rPr>
      </w:pPr>
      <w:r>
        <w:rPr>
          <w:b/>
          <w:szCs w:val="26"/>
        </w:rPr>
        <w:t xml:space="preserve">How do I know if an OCPM provision applies </w:t>
      </w:r>
      <w:proofErr w:type="gramStart"/>
      <w:r>
        <w:rPr>
          <w:b/>
          <w:szCs w:val="26"/>
        </w:rPr>
        <w:t>in a given</w:t>
      </w:r>
      <w:proofErr w:type="gramEnd"/>
      <w:r>
        <w:rPr>
          <w:b/>
          <w:szCs w:val="26"/>
        </w:rPr>
        <w:t xml:space="preserve"> case?</w:t>
      </w:r>
    </w:p>
    <w:p w14:paraId="27B32E21" w14:textId="1274CAD1" w:rsidR="00574DA8" w:rsidRPr="00092398" w:rsidRDefault="00C2544D" w:rsidP="00574DA8">
      <w:pPr>
        <w:widowControl w:val="0"/>
        <w:spacing w:before="240" w:after="180" w:line="276" w:lineRule="auto"/>
        <w:rPr>
          <w:rFonts w:cs="Calibri"/>
          <w:bCs/>
          <w:szCs w:val="26"/>
        </w:rPr>
      </w:pPr>
      <w:r w:rsidRPr="00092398">
        <w:rPr>
          <w:rFonts w:cs="Calibri"/>
          <w:bCs/>
          <w:szCs w:val="26"/>
        </w:rPr>
        <w:t xml:space="preserve">Provisions of the OCPM should be read to apply to all types of appeals that OMHA receives, </w:t>
      </w:r>
      <w:r w:rsidRPr="00092398">
        <w:rPr>
          <w:rFonts w:cs="Calibri"/>
          <w:bCs/>
          <w:i/>
          <w:iCs/>
          <w:szCs w:val="26"/>
        </w:rPr>
        <w:t>unless</w:t>
      </w:r>
      <w:r w:rsidRPr="00092398">
        <w:rPr>
          <w:rFonts w:cs="Calibri"/>
          <w:bCs/>
          <w:szCs w:val="26"/>
        </w:rPr>
        <w:t xml:space="preserve"> the OCPM provision specifically provides otherwise. Many footnotes cite only </w:t>
      </w:r>
      <w:proofErr w:type="gramStart"/>
      <w:r w:rsidRPr="00092398">
        <w:rPr>
          <w:rFonts w:cs="Calibri"/>
          <w:bCs/>
          <w:szCs w:val="26"/>
        </w:rPr>
        <w:t>to</w:t>
      </w:r>
      <w:proofErr w:type="gramEnd"/>
      <w:r w:rsidRPr="00092398">
        <w:rPr>
          <w:rFonts w:cs="Calibri"/>
          <w:bCs/>
          <w:szCs w:val="26"/>
        </w:rPr>
        <w:t xml:space="preserve"> 42 C.F.R. parts 405 and 423 because only these parts contain directly applicable provisions. However, several regulatory cross-references make provisions of 42 C.F.R. </w:t>
      </w:r>
      <w:r w:rsidRPr="00092398">
        <w:rPr>
          <w:rFonts w:cs="Calibri"/>
          <w:bCs/>
          <w:szCs w:val="26"/>
        </w:rPr>
        <w:lastRenderedPageBreak/>
        <w:t>part 405, 422, or 423 applicable to other types of appeals OMHA receives. For example:</w:t>
      </w:r>
    </w:p>
    <w:p w14:paraId="65A6113E" w14:textId="77777777" w:rsidR="00C2544D" w:rsidRPr="00EA3B37" w:rsidRDefault="00C2544D" w:rsidP="00A16AF1">
      <w:pPr>
        <w:pStyle w:val="ListParagraph"/>
        <w:numPr>
          <w:ilvl w:val="0"/>
          <w:numId w:val="6"/>
        </w:numPr>
        <w:spacing w:after="180" w:line="276" w:lineRule="auto"/>
        <w:contextualSpacing w:val="0"/>
        <w:rPr>
          <w:bCs/>
          <w:szCs w:val="26"/>
        </w:rPr>
      </w:pPr>
      <w:hyperlink r:id="rId14" w:history="1">
        <w:r w:rsidRPr="00670028">
          <w:rPr>
            <w:rStyle w:val="Hyperlink"/>
            <w:bCs/>
            <w:color w:val="0000FF"/>
            <w:szCs w:val="26"/>
          </w:rPr>
          <w:t>42 C.F.R. section 422.562(d)(1)</w:t>
        </w:r>
      </w:hyperlink>
      <w:r w:rsidRPr="00670028">
        <w:rPr>
          <w:bCs/>
          <w:color w:val="0000FF"/>
          <w:szCs w:val="26"/>
        </w:rPr>
        <w:t xml:space="preserve"> </w:t>
      </w:r>
      <w:r w:rsidRPr="00EA3B37">
        <w:rPr>
          <w:bCs/>
          <w:szCs w:val="26"/>
        </w:rPr>
        <w:t xml:space="preserve">provides that, unless part 422, subpart M provides otherwise (and subject to the exceptions in section 422.562(d)(2)), the regulations in part 405 apply under </w:t>
      </w:r>
      <w:proofErr w:type="spellStart"/>
      <w:r w:rsidRPr="00EA3B37">
        <w:rPr>
          <w:bCs/>
          <w:szCs w:val="26"/>
        </w:rPr>
        <w:t>part</w:t>
      </w:r>
      <w:proofErr w:type="spellEnd"/>
      <w:r w:rsidRPr="00EA3B37">
        <w:rPr>
          <w:bCs/>
          <w:szCs w:val="26"/>
        </w:rPr>
        <w:t xml:space="preserve"> 422, subpart M to the extent they are appropriate</w:t>
      </w:r>
      <w:r>
        <w:rPr>
          <w:bCs/>
          <w:szCs w:val="26"/>
        </w:rPr>
        <w:t>;</w:t>
      </w:r>
      <w:r w:rsidRPr="00EA3B37">
        <w:rPr>
          <w:rStyle w:val="FootnoteReference"/>
          <w:bCs/>
          <w:szCs w:val="26"/>
        </w:rPr>
        <w:footnoteReference w:id="4"/>
      </w:r>
    </w:p>
    <w:p w14:paraId="2EF0716F" w14:textId="77777777" w:rsidR="00C2544D" w:rsidRPr="00EA3B37" w:rsidRDefault="00C2544D" w:rsidP="00A16AF1">
      <w:pPr>
        <w:pStyle w:val="ListParagraph"/>
        <w:numPr>
          <w:ilvl w:val="0"/>
          <w:numId w:val="6"/>
        </w:numPr>
        <w:spacing w:after="180" w:line="276" w:lineRule="auto"/>
        <w:contextualSpacing w:val="0"/>
        <w:rPr>
          <w:bCs/>
          <w:szCs w:val="26"/>
        </w:rPr>
      </w:pPr>
      <w:hyperlink r:id="rId15" w:history="1">
        <w:r w:rsidRPr="00670028">
          <w:rPr>
            <w:rStyle w:val="Hyperlink"/>
            <w:bCs/>
            <w:color w:val="0000FF"/>
            <w:szCs w:val="26"/>
          </w:rPr>
          <w:t>42 C.F.R. section 417.600(b)(1)</w:t>
        </w:r>
      </w:hyperlink>
      <w:r w:rsidRPr="00EA3B37">
        <w:rPr>
          <w:bCs/>
          <w:szCs w:val="26"/>
        </w:rPr>
        <w:t xml:space="preserve"> provides that the rights, procedures, and requirements relating to beneficiary appeals and grievances set forth in part 422, subpart M apply to Medicare contracts with Health Maintenance Organizations (HMOs) and Competitive Medical Plans (CMPs) under section 1876 of the Act;</w:t>
      </w:r>
    </w:p>
    <w:p w14:paraId="593C8E1B" w14:textId="77777777" w:rsidR="00C2544D" w:rsidRPr="00EA3B37" w:rsidRDefault="00C2544D" w:rsidP="00A16AF1">
      <w:pPr>
        <w:pStyle w:val="ListParagraph"/>
        <w:numPr>
          <w:ilvl w:val="0"/>
          <w:numId w:val="6"/>
        </w:numPr>
        <w:spacing w:after="180" w:line="276" w:lineRule="auto"/>
        <w:contextualSpacing w:val="0"/>
        <w:rPr>
          <w:bCs/>
          <w:szCs w:val="26"/>
        </w:rPr>
      </w:pPr>
      <w:hyperlink r:id="rId16" w:anchor="se42.3.417_1832" w:history="1">
        <w:r w:rsidRPr="00670028">
          <w:rPr>
            <w:rStyle w:val="Hyperlink"/>
            <w:bCs/>
            <w:color w:val="0000FF"/>
            <w:szCs w:val="26"/>
          </w:rPr>
          <w:t>42 C.F.R. section 417.832(c) and (d)</w:t>
        </w:r>
      </w:hyperlink>
      <w:r w:rsidRPr="00EA3B37">
        <w:rPr>
          <w:bCs/>
          <w:szCs w:val="26"/>
        </w:rPr>
        <w:t xml:space="preserve"> provide that the provisions of part 405 dealing with representation of parties, ALJ hearings, Council review, and judicial review are applicable to enrollee appeals of Health Care Prepayment Plan (HCPP) organization determinations, unless otherwise provided</w:t>
      </w:r>
      <w:r>
        <w:rPr>
          <w:bCs/>
          <w:szCs w:val="26"/>
        </w:rPr>
        <w:t>;</w:t>
      </w:r>
      <w:r w:rsidRPr="00EA3B37">
        <w:rPr>
          <w:rStyle w:val="FootnoteReference"/>
          <w:bCs/>
          <w:szCs w:val="26"/>
        </w:rPr>
        <w:footnoteReference w:id="5"/>
      </w:r>
    </w:p>
    <w:p w14:paraId="03249966" w14:textId="77777777" w:rsidR="00C2544D" w:rsidRPr="00EA3B37" w:rsidRDefault="00C2544D" w:rsidP="00A16AF1">
      <w:pPr>
        <w:pStyle w:val="ListParagraph"/>
        <w:numPr>
          <w:ilvl w:val="0"/>
          <w:numId w:val="6"/>
        </w:numPr>
        <w:spacing w:after="180" w:line="276" w:lineRule="auto"/>
        <w:contextualSpacing w:val="0"/>
        <w:rPr>
          <w:bCs/>
          <w:szCs w:val="26"/>
        </w:rPr>
      </w:pPr>
      <w:hyperlink r:id="rId17" w:history="1">
        <w:r w:rsidRPr="00670028">
          <w:rPr>
            <w:rStyle w:val="Hyperlink"/>
            <w:bCs/>
            <w:color w:val="0000FF"/>
            <w:szCs w:val="26"/>
          </w:rPr>
          <w:t>42 C.F.R. section 423.562(c)</w:t>
        </w:r>
      </w:hyperlink>
      <w:r w:rsidRPr="00670028">
        <w:rPr>
          <w:bCs/>
          <w:color w:val="0000FF"/>
          <w:szCs w:val="26"/>
        </w:rPr>
        <w:t xml:space="preserve"> </w:t>
      </w:r>
      <w:r w:rsidRPr="00EA3B37">
        <w:rPr>
          <w:bCs/>
          <w:szCs w:val="26"/>
        </w:rPr>
        <w:t xml:space="preserve">provides that, unless part 423, subpart M provides otherwise, the regulations in part 422, subpart M (and any interpretive rules or CMS rulings issued under those regulations) apply under </w:t>
      </w:r>
      <w:proofErr w:type="spellStart"/>
      <w:r w:rsidRPr="00EA3B37">
        <w:rPr>
          <w:bCs/>
          <w:szCs w:val="26"/>
        </w:rPr>
        <w:t>part</w:t>
      </w:r>
      <w:proofErr w:type="spellEnd"/>
      <w:r w:rsidRPr="00EA3B37">
        <w:rPr>
          <w:bCs/>
          <w:szCs w:val="26"/>
        </w:rPr>
        <w:t xml:space="preserve"> 423, subpart M to the extent they are appropriate</w:t>
      </w:r>
      <w:r>
        <w:rPr>
          <w:bCs/>
          <w:szCs w:val="26"/>
        </w:rPr>
        <w:t>;</w:t>
      </w:r>
      <w:r w:rsidRPr="00EA3B37">
        <w:rPr>
          <w:rStyle w:val="FootnoteReference"/>
          <w:bCs/>
          <w:szCs w:val="26"/>
        </w:rPr>
        <w:footnoteReference w:id="6"/>
      </w:r>
    </w:p>
    <w:p w14:paraId="2E1D8DA3" w14:textId="77777777" w:rsidR="00C2544D" w:rsidRPr="00EA3B37" w:rsidRDefault="00C2544D" w:rsidP="00A16AF1">
      <w:pPr>
        <w:pStyle w:val="ListParagraph"/>
        <w:numPr>
          <w:ilvl w:val="0"/>
          <w:numId w:val="6"/>
        </w:numPr>
        <w:spacing w:after="180" w:line="276" w:lineRule="auto"/>
        <w:contextualSpacing w:val="0"/>
        <w:rPr>
          <w:bCs/>
          <w:szCs w:val="26"/>
        </w:rPr>
      </w:pPr>
      <w:hyperlink r:id="rId18" w:history="1">
        <w:r w:rsidRPr="00670028">
          <w:rPr>
            <w:rStyle w:val="Hyperlink"/>
            <w:bCs/>
            <w:color w:val="0000FF"/>
            <w:szCs w:val="26"/>
          </w:rPr>
          <w:t>42 C.F.R. section 478.40(c)(1)</w:t>
        </w:r>
      </w:hyperlink>
      <w:r w:rsidRPr="00EA3B37">
        <w:rPr>
          <w:bCs/>
          <w:szCs w:val="26"/>
        </w:rPr>
        <w:t xml:space="preserve"> provides that, unless they are inconsistent with specific provisions of part 478, subpart B, (and subject to the exceptions in section 478.40(c)(2)), the regulations in part 405, subpart I apply to hearings and appeals under </w:t>
      </w:r>
      <w:proofErr w:type="spellStart"/>
      <w:r w:rsidRPr="00EA3B37">
        <w:rPr>
          <w:bCs/>
          <w:szCs w:val="26"/>
        </w:rPr>
        <w:t>part</w:t>
      </w:r>
      <w:proofErr w:type="spellEnd"/>
      <w:r w:rsidRPr="00EA3B37">
        <w:rPr>
          <w:bCs/>
          <w:szCs w:val="26"/>
        </w:rPr>
        <w:t xml:space="preserve"> 478, subpart B, and references to initial determinations made by a Medicare contractor and reconsiderations made by a QIC should be read to mean initial determinations and reconsidered determinations made by a QIO</w:t>
      </w:r>
      <w:r>
        <w:rPr>
          <w:bCs/>
          <w:szCs w:val="26"/>
        </w:rPr>
        <w:t>;</w:t>
      </w:r>
      <w:r w:rsidRPr="00EA3B37">
        <w:rPr>
          <w:rStyle w:val="FootnoteReference"/>
          <w:bCs/>
          <w:szCs w:val="26"/>
        </w:rPr>
        <w:footnoteReference w:id="7"/>
      </w:r>
      <w:r w:rsidRPr="00EA3B37">
        <w:rPr>
          <w:bCs/>
          <w:szCs w:val="26"/>
        </w:rPr>
        <w:t xml:space="preserve"> and</w:t>
      </w:r>
    </w:p>
    <w:p w14:paraId="5609C432" w14:textId="30301B1B" w:rsidR="00C2544D" w:rsidRPr="00DF1022" w:rsidRDefault="00C2544D" w:rsidP="00DF1022">
      <w:pPr>
        <w:pStyle w:val="ListParagraph"/>
        <w:numPr>
          <w:ilvl w:val="0"/>
          <w:numId w:val="6"/>
        </w:numPr>
        <w:spacing w:after="180" w:line="276" w:lineRule="auto"/>
        <w:contextualSpacing w:val="0"/>
        <w:rPr>
          <w:bCs/>
          <w:szCs w:val="26"/>
        </w:rPr>
      </w:pPr>
      <w:r w:rsidRPr="00EA3B37">
        <w:rPr>
          <w:bCs/>
          <w:szCs w:val="26"/>
        </w:rPr>
        <w:t xml:space="preserve">After SSA issues a reconsideration regarding a Medicare beneficiary’s Part B or Part D IRMAA, </w:t>
      </w:r>
      <w:hyperlink r:id="rId19" w:history="1">
        <w:r w:rsidRPr="008E25CC">
          <w:rPr>
            <w:rStyle w:val="Hyperlink"/>
            <w:bCs/>
            <w:color w:val="0000FF"/>
            <w:szCs w:val="26"/>
          </w:rPr>
          <w:t>20 C.F.R. sections 418.1350</w:t>
        </w:r>
      </w:hyperlink>
      <w:r w:rsidRPr="00EA3B37">
        <w:rPr>
          <w:bCs/>
          <w:szCs w:val="26"/>
        </w:rPr>
        <w:t xml:space="preserve"> and </w:t>
      </w:r>
      <w:hyperlink r:id="rId20" w:history="1">
        <w:r w:rsidRPr="008E25CC">
          <w:rPr>
            <w:rStyle w:val="Hyperlink"/>
            <w:bCs/>
            <w:color w:val="0000FF"/>
            <w:szCs w:val="26"/>
          </w:rPr>
          <w:t>418.2350</w:t>
        </w:r>
      </w:hyperlink>
      <w:r w:rsidRPr="00EA3B37">
        <w:rPr>
          <w:bCs/>
          <w:szCs w:val="26"/>
        </w:rPr>
        <w:t xml:space="preserve"> provide that Medicare beneficiaries may request a hearing before an OMHA ALJ consistent with the regulations at 42 C.F.R. part 405 (for </w:t>
      </w:r>
      <w:r>
        <w:rPr>
          <w:bCs/>
          <w:szCs w:val="26"/>
        </w:rPr>
        <w:t>Part B IRMAAs) or part 423 (for Part D IRMAAs).</w:t>
      </w:r>
    </w:p>
    <w:p w14:paraId="644114A6" w14:textId="537F85D6" w:rsidR="00823C27" w:rsidRDefault="009B3EF8" w:rsidP="004A3A68">
      <w:pPr>
        <w:pStyle w:val="ListParagraph"/>
        <w:keepNext/>
        <w:numPr>
          <w:ilvl w:val="1"/>
          <w:numId w:val="1"/>
        </w:numPr>
        <w:spacing w:after="180" w:line="276" w:lineRule="auto"/>
        <w:contextualSpacing w:val="0"/>
        <w:outlineLvl w:val="1"/>
        <w:rPr>
          <w:b/>
          <w:szCs w:val="26"/>
        </w:rPr>
      </w:pPr>
      <w:r>
        <w:rPr>
          <w:b/>
          <w:szCs w:val="26"/>
        </w:rPr>
        <w:lastRenderedPageBreak/>
        <w:t>How does the OCPM address terminology differences among the Medicare Parts?</w:t>
      </w:r>
    </w:p>
    <w:p w14:paraId="55E89064" w14:textId="77777777" w:rsidR="00856307" w:rsidRDefault="00856307" w:rsidP="00856307">
      <w:pPr>
        <w:spacing w:after="180"/>
        <w:rPr>
          <w:bCs/>
          <w:szCs w:val="26"/>
        </w:rPr>
      </w:pPr>
      <w:r>
        <w:rPr>
          <w:bCs/>
          <w:szCs w:val="26"/>
        </w:rPr>
        <w:t>There are differences in terminology for the various types of appeals OMHA receives. For ease of reading, the OCPM generally uses 42 C.F.R. part 405 terminology.</w:t>
      </w:r>
    </w:p>
    <w:p w14:paraId="55F82485" w14:textId="77777777" w:rsidR="00856307" w:rsidRDefault="00856307" w:rsidP="00856307">
      <w:pPr>
        <w:spacing w:after="180"/>
        <w:rPr>
          <w:bCs/>
          <w:szCs w:val="26"/>
        </w:rPr>
      </w:pPr>
      <w:r w:rsidRPr="00041F23">
        <w:rPr>
          <w:bCs/>
          <w:i/>
          <w:iCs/>
          <w:szCs w:val="26"/>
        </w:rPr>
        <w:t>Unless the OCPM specifically provides otherwise</w:t>
      </w:r>
      <w:r>
        <w:rPr>
          <w:bCs/>
          <w:szCs w:val="26"/>
        </w:rPr>
        <w:t>, references to the following terms should be read as follows:</w:t>
      </w:r>
    </w:p>
    <w:p w14:paraId="2B9DD424" w14:textId="77777777" w:rsidR="00856307" w:rsidRPr="00204E60" w:rsidRDefault="00856307" w:rsidP="00856307">
      <w:pPr>
        <w:pStyle w:val="ListParagraph"/>
        <w:numPr>
          <w:ilvl w:val="0"/>
          <w:numId w:val="6"/>
        </w:numPr>
        <w:spacing w:after="180" w:line="276" w:lineRule="auto"/>
        <w:contextualSpacing w:val="0"/>
        <w:rPr>
          <w:b/>
          <w:szCs w:val="26"/>
        </w:rPr>
      </w:pPr>
      <w:r>
        <w:rPr>
          <w:bCs/>
          <w:szCs w:val="26"/>
        </w:rPr>
        <w:t xml:space="preserve">References to </w:t>
      </w:r>
      <w:r w:rsidRPr="007F7C53">
        <w:rPr>
          <w:b/>
          <w:szCs w:val="26"/>
        </w:rPr>
        <w:t>Part C</w:t>
      </w:r>
      <w:r>
        <w:rPr>
          <w:bCs/>
          <w:szCs w:val="26"/>
        </w:rPr>
        <w:t xml:space="preserve">, </w:t>
      </w:r>
      <w:r w:rsidRPr="007F7C53">
        <w:rPr>
          <w:b/>
          <w:szCs w:val="26"/>
        </w:rPr>
        <w:t>Medicare Advantage</w:t>
      </w:r>
      <w:r>
        <w:rPr>
          <w:b/>
          <w:szCs w:val="26"/>
        </w:rPr>
        <w:t>, or MAOs</w:t>
      </w:r>
      <w:r>
        <w:rPr>
          <w:bCs/>
          <w:szCs w:val="26"/>
        </w:rPr>
        <w:t xml:space="preserve"> should also be read as applying to Medicare cost plans (HMOs and CMPs), and HCPPs, and appeals resulting from organization determinations made by these entities;</w:t>
      </w:r>
    </w:p>
    <w:p w14:paraId="60E02A0A" w14:textId="77777777" w:rsidR="00856307" w:rsidRPr="00204E60" w:rsidRDefault="00856307" w:rsidP="00856307">
      <w:pPr>
        <w:pStyle w:val="ListParagraph"/>
        <w:numPr>
          <w:ilvl w:val="0"/>
          <w:numId w:val="6"/>
        </w:numPr>
        <w:spacing w:after="180" w:line="276" w:lineRule="auto"/>
        <w:contextualSpacing w:val="0"/>
        <w:rPr>
          <w:b/>
          <w:szCs w:val="26"/>
        </w:rPr>
      </w:pPr>
      <w:r>
        <w:rPr>
          <w:bCs/>
          <w:szCs w:val="26"/>
        </w:rPr>
        <w:t xml:space="preserve">References to a </w:t>
      </w:r>
      <w:r w:rsidRPr="00204E60">
        <w:rPr>
          <w:b/>
          <w:szCs w:val="26"/>
        </w:rPr>
        <w:t>plan</w:t>
      </w:r>
      <w:r>
        <w:rPr>
          <w:bCs/>
          <w:szCs w:val="26"/>
        </w:rPr>
        <w:t xml:space="preserve"> should be read as applying to Part C (MA) plans and MAOs, Medicare cost plans (HMOs and CMPs), HCPPs, and Part D plan sponsors;</w:t>
      </w:r>
    </w:p>
    <w:p w14:paraId="12B9ADFB" w14:textId="77777777" w:rsidR="00856307" w:rsidRPr="00204E60" w:rsidRDefault="00856307" w:rsidP="00856307">
      <w:pPr>
        <w:pStyle w:val="ListParagraph"/>
        <w:numPr>
          <w:ilvl w:val="0"/>
          <w:numId w:val="6"/>
        </w:numPr>
        <w:spacing w:after="180" w:line="276" w:lineRule="auto"/>
        <w:contextualSpacing w:val="0"/>
        <w:rPr>
          <w:b/>
          <w:szCs w:val="26"/>
        </w:rPr>
      </w:pPr>
      <w:r>
        <w:rPr>
          <w:bCs/>
          <w:szCs w:val="26"/>
        </w:rPr>
        <w:t xml:space="preserve">References to </w:t>
      </w:r>
      <w:r w:rsidRPr="0002333C">
        <w:rPr>
          <w:b/>
          <w:szCs w:val="26"/>
        </w:rPr>
        <w:t>beneficiaries</w:t>
      </w:r>
      <w:r>
        <w:rPr>
          <w:bCs/>
          <w:szCs w:val="26"/>
        </w:rPr>
        <w:t xml:space="preserve"> should also be read as applying to Part C or Part D enrollees and, in certain eligibility cases, applicants for benefits;</w:t>
      </w:r>
    </w:p>
    <w:p w14:paraId="785442AF" w14:textId="77777777" w:rsidR="00856307" w:rsidRPr="00BB2E60" w:rsidRDefault="00856307" w:rsidP="00856307">
      <w:pPr>
        <w:pStyle w:val="ListParagraph"/>
        <w:numPr>
          <w:ilvl w:val="0"/>
          <w:numId w:val="6"/>
        </w:numPr>
        <w:spacing w:after="180" w:line="276" w:lineRule="auto"/>
        <w:contextualSpacing w:val="0"/>
        <w:rPr>
          <w:b/>
          <w:szCs w:val="26"/>
        </w:rPr>
      </w:pPr>
      <w:r w:rsidRPr="00EE2E8C">
        <w:rPr>
          <w:bCs/>
          <w:szCs w:val="26"/>
        </w:rPr>
        <w:t>References to an</w:t>
      </w:r>
      <w:r>
        <w:rPr>
          <w:b/>
          <w:szCs w:val="26"/>
        </w:rPr>
        <w:t xml:space="preserve"> initial determination</w:t>
      </w:r>
      <w:r>
        <w:rPr>
          <w:bCs/>
          <w:szCs w:val="26"/>
        </w:rPr>
        <w:t xml:space="preserve"> should also be read as applying to Part C organization determinations, Part D coverage determinations and at-risk determinations, SSA determinations, and QIO initial denial determinations; and</w:t>
      </w:r>
    </w:p>
    <w:p w14:paraId="538F1EDF" w14:textId="77777777" w:rsidR="00856307" w:rsidRPr="007F53C0" w:rsidRDefault="00856307" w:rsidP="00856307">
      <w:pPr>
        <w:pStyle w:val="ListParagraph"/>
        <w:numPr>
          <w:ilvl w:val="0"/>
          <w:numId w:val="6"/>
        </w:numPr>
        <w:spacing w:after="180" w:line="276" w:lineRule="auto"/>
        <w:contextualSpacing w:val="0"/>
        <w:rPr>
          <w:b/>
          <w:szCs w:val="26"/>
        </w:rPr>
      </w:pPr>
      <w:r>
        <w:rPr>
          <w:bCs/>
          <w:szCs w:val="26"/>
        </w:rPr>
        <w:t xml:space="preserve">References to a </w:t>
      </w:r>
      <w:r w:rsidRPr="007F7C53">
        <w:rPr>
          <w:b/>
          <w:szCs w:val="26"/>
        </w:rPr>
        <w:t>reconsideration</w:t>
      </w:r>
      <w:r>
        <w:rPr>
          <w:bCs/>
          <w:szCs w:val="26"/>
        </w:rPr>
        <w:t xml:space="preserve"> should also be read as applying to QIO reconsidered determinations and Part C reconsiderations conducted by an IRE.</w:t>
      </w:r>
    </w:p>
    <w:p w14:paraId="08656D2A" w14:textId="4E634C7A" w:rsidR="007F53C0" w:rsidRPr="008F75D4" w:rsidRDefault="007F53C0" w:rsidP="008F75D4">
      <w:pPr>
        <w:pBdr>
          <w:top w:val="single" w:sz="4" w:space="4" w:color="auto"/>
          <w:left w:val="single" w:sz="4" w:space="4" w:color="auto"/>
          <w:bottom w:val="single" w:sz="4" w:space="4" w:color="auto"/>
          <w:right w:val="single" w:sz="4" w:space="4" w:color="auto"/>
        </w:pBdr>
        <w:spacing w:after="180" w:line="276" w:lineRule="auto"/>
        <w:ind w:left="1080" w:hanging="1080"/>
        <w:rPr>
          <w:szCs w:val="26"/>
        </w:rPr>
      </w:pPr>
      <w:r>
        <w:rPr>
          <w:i/>
          <w:iCs/>
          <w:szCs w:val="26"/>
        </w:rPr>
        <w:t>Caution</w:t>
      </w:r>
      <w:r>
        <w:rPr>
          <w:szCs w:val="26"/>
        </w:rPr>
        <w:t>:</w:t>
      </w:r>
      <w:r>
        <w:rPr>
          <w:szCs w:val="26"/>
        </w:rPr>
        <w:tab/>
        <w:t xml:space="preserve">References in the OCPM to reconsiderations should </w:t>
      </w:r>
      <w:r w:rsidRPr="00041F23">
        <w:rPr>
          <w:i/>
          <w:iCs/>
          <w:szCs w:val="26"/>
        </w:rPr>
        <w:t>not</w:t>
      </w:r>
      <w:r>
        <w:rPr>
          <w:szCs w:val="26"/>
        </w:rPr>
        <w:t xml:space="preserve"> be read as applying to reconsiderations conducted by an MAO.</w:t>
      </w:r>
      <w:r>
        <w:rPr>
          <w:rStyle w:val="FootnoteReference"/>
          <w:szCs w:val="26"/>
        </w:rPr>
        <w:footnoteReference w:id="8"/>
      </w:r>
      <w:bookmarkStart w:id="10" w:name="_Ref513555864"/>
    </w:p>
    <w:p w14:paraId="24EB2C46" w14:textId="77777777" w:rsidR="008F75D4" w:rsidRDefault="008F75D4">
      <w:pPr>
        <w:rPr>
          <w:rFonts w:cs="Calibri"/>
          <w:b/>
          <w:sz w:val="32"/>
          <w:szCs w:val="32"/>
        </w:rPr>
      </w:pPr>
      <w:bookmarkStart w:id="11" w:name="_Toc237517478"/>
      <w:r>
        <w:rPr>
          <w:rFonts w:cs="Calibri"/>
          <w:b/>
          <w:sz w:val="32"/>
          <w:szCs w:val="32"/>
        </w:rPr>
        <w:br w:type="page"/>
      </w:r>
    </w:p>
    <w:p w14:paraId="49C65AA2" w14:textId="5279C799" w:rsidR="00814164" w:rsidRDefault="00814164" w:rsidP="00192E4A">
      <w:pPr>
        <w:pStyle w:val="ListParagraph"/>
        <w:keepNext/>
        <w:numPr>
          <w:ilvl w:val="0"/>
          <w:numId w:val="1"/>
        </w:numPr>
        <w:spacing w:after="0" w:line="276" w:lineRule="auto"/>
        <w:contextualSpacing w:val="0"/>
        <w:outlineLvl w:val="0"/>
        <w:rPr>
          <w:rFonts w:cs="Calibri"/>
          <w:b/>
          <w:sz w:val="32"/>
          <w:szCs w:val="32"/>
        </w:rPr>
      </w:pPr>
      <w:r w:rsidRPr="00D271E6">
        <w:rPr>
          <w:rFonts w:cs="Calibri"/>
          <w:b/>
          <w:sz w:val="32"/>
          <w:szCs w:val="32"/>
        </w:rPr>
        <w:lastRenderedPageBreak/>
        <w:t>Updating the OCPM</w:t>
      </w:r>
      <w:bookmarkEnd w:id="10"/>
      <w:bookmarkEnd w:id="11"/>
    </w:p>
    <w:p w14:paraId="416ACF5B" w14:textId="21EFBD6B" w:rsidR="001D1A07" w:rsidRPr="00E120BF" w:rsidRDefault="00E120BF" w:rsidP="00E120BF">
      <w:pPr>
        <w:keepNext/>
        <w:spacing w:after="180"/>
        <w:rPr>
          <w:szCs w:val="26"/>
        </w:rPr>
      </w:pPr>
      <w:r w:rsidRPr="00C80527">
        <w:rPr>
          <w:szCs w:val="26"/>
        </w:rPr>
        <w:t>(Issue</w:t>
      </w:r>
      <w:r w:rsidRPr="00895650">
        <w:rPr>
          <w:szCs w:val="26"/>
        </w:rPr>
        <w:t>d: 05-25-18, Effective: 05-25-18)</w:t>
      </w:r>
    </w:p>
    <w:p w14:paraId="59EC7063" w14:textId="77777777" w:rsidR="00687BEB" w:rsidRDefault="00687BEB" w:rsidP="004A3A68">
      <w:pPr>
        <w:pStyle w:val="ListParagraph"/>
        <w:keepNext/>
        <w:numPr>
          <w:ilvl w:val="1"/>
          <w:numId w:val="1"/>
        </w:numPr>
        <w:spacing w:after="180" w:line="276" w:lineRule="auto"/>
        <w:outlineLvl w:val="1"/>
        <w:rPr>
          <w:b/>
          <w:szCs w:val="26"/>
        </w:rPr>
      </w:pPr>
      <w:bookmarkStart w:id="12" w:name="_Ref513556138"/>
      <w:r w:rsidRPr="00E1238C">
        <w:rPr>
          <w:b/>
          <w:szCs w:val="26"/>
        </w:rPr>
        <w:t>How is the OCPM updated?</w:t>
      </w:r>
      <w:bookmarkEnd w:id="12"/>
    </w:p>
    <w:p w14:paraId="45BD4C95" w14:textId="77777777" w:rsidR="002C2EBD" w:rsidRDefault="002C2EBD" w:rsidP="002C2EBD">
      <w:pPr>
        <w:spacing w:after="180"/>
        <w:rPr>
          <w:bCs/>
          <w:szCs w:val="26"/>
        </w:rPr>
      </w:pPr>
      <w:r>
        <w:rPr>
          <w:bCs/>
          <w:szCs w:val="26"/>
        </w:rPr>
        <w:t>At the end of each OCPM chapter, there is a table that details the revision history of that chapter, with the most recent revision at the top. Each time a change is made to the OCPM chapter, the table is updated with the following information:</w:t>
      </w:r>
    </w:p>
    <w:p w14:paraId="0A2FD390" w14:textId="77777777" w:rsidR="002C2EBD" w:rsidRDefault="002C2EBD" w:rsidP="002C2EBD">
      <w:pPr>
        <w:pStyle w:val="ListParagraph"/>
        <w:numPr>
          <w:ilvl w:val="0"/>
          <w:numId w:val="6"/>
        </w:numPr>
        <w:spacing w:after="180" w:line="276" w:lineRule="auto"/>
        <w:contextualSpacing w:val="0"/>
        <w:rPr>
          <w:bCs/>
          <w:szCs w:val="26"/>
        </w:rPr>
      </w:pPr>
      <w:r>
        <w:rPr>
          <w:bCs/>
          <w:szCs w:val="26"/>
        </w:rPr>
        <w:t xml:space="preserve">The </w:t>
      </w:r>
      <w:proofErr w:type="gramStart"/>
      <w:r>
        <w:rPr>
          <w:bCs/>
          <w:szCs w:val="26"/>
        </w:rPr>
        <w:t>date</w:t>
      </w:r>
      <w:proofErr w:type="gramEnd"/>
      <w:r>
        <w:rPr>
          <w:bCs/>
          <w:szCs w:val="26"/>
        </w:rPr>
        <w:t xml:space="preserve"> the change was made;</w:t>
      </w:r>
    </w:p>
    <w:p w14:paraId="67D3F036" w14:textId="77777777" w:rsidR="002C2EBD" w:rsidRDefault="002C2EBD" w:rsidP="002C2EBD">
      <w:pPr>
        <w:pStyle w:val="ListParagraph"/>
        <w:numPr>
          <w:ilvl w:val="0"/>
          <w:numId w:val="6"/>
        </w:numPr>
        <w:spacing w:after="180" w:line="276" w:lineRule="auto"/>
        <w:contextualSpacing w:val="0"/>
        <w:rPr>
          <w:bCs/>
          <w:szCs w:val="26"/>
        </w:rPr>
      </w:pPr>
      <w:r>
        <w:rPr>
          <w:bCs/>
          <w:szCs w:val="26"/>
        </w:rPr>
        <w:t>A brief description of the change; and</w:t>
      </w:r>
    </w:p>
    <w:p w14:paraId="48B32A99" w14:textId="77777777" w:rsidR="002C2EBD" w:rsidRDefault="002C2EBD" w:rsidP="002C2EBD">
      <w:pPr>
        <w:pStyle w:val="ListParagraph"/>
        <w:numPr>
          <w:ilvl w:val="0"/>
          <w:numId w:val="6"/>
        </w:numPr>
        <w:spacing w:after="180" w:line="276" w:lineRule="auto"/>
        <w:contextualSpacing w:val="0"/>
        <w:rPr>
          <w:bCs/>
          <w:szCs w:val="26"/>
        </w:rPr>
      </w:pPr>
      <w:r>
        <w:rPr>
          <w:bCs/>
          <w:szCs w:val="26"/>
        </w:rPr>
        <w:t>A list of the sections and subsections affected by the change.</w:t>
      </w:r>
    </w:p>
    <w:p w14:paraId="64895BB4" w14:textId="0F9A27A1" w:rsidR="00E120BF" w:rsidRPr="002C2EBD" w:rsidRDefault="002C2EBD" w:rsidP="002C2EBD">
      <w:pPr>
        <w:spacing w:after="180"/>
        <w:rPr>
          <w:bCs/>
          <w:szCs w:val="26"/>
        </w:rPr>
      </w:pPr>
      <w:r>
        <w:rPr>
          <w:bCs/>
          <w:szCs w:val="26"/>
        </w:rPr>
        <w:t xml:space="preserve">Updates are announced internally to OMHA staff by email, and to the public </w:t>
      </w:r>
      <w:r w:rsidRPr="0001412E">
        <w:rPr>
          <w:bCs/>
          <w:szCs w:val="26"/>
        </w:rPr>
        <w:t xml:space="preserve">on the </w:t>
      </w:r>
      <w:hyperlink r:id="rId21" w:history="1">
        <w:r w:rsidRPr="002C2EBD">
          <w:rPr>
            <w:rStyle w:val="Hyperlink"/>
            <w:bCs/>
            <w:color w:val="0000FF"/>
            <w:szCs w:val="26"/>
          </w:rPr>
          <w:t>OMHA listserv</w:t>
        </w:r>
      </w:hyperlink>
      <w:r>
        <w:rPr>
          <w:bCs/>
          <w:szCs w:val="26"/>
        </w:rPr>
        <w:t xml:space="preserve"> and in a quarterly notice published in the Federal Register.</w:t>
      </w:r>
    </w:p>
    <w:p w14:paraId="3927CD3A" w14:textId="77777777" w:rsidR="003213EE" w:rsidRDefault="003213EE" w:rsidP="004A3A68">
      <w:pPr>
        <w:pStyle w:val="ListParagraph"/>
        <w:keepNext/>
        <w:numPr>
          <w:ilvl w:val="1"/>
          <w:numId w:val="1"/>
        </w:numPr>
        <w:spacing w:after="180" w:line="276" w:lineRule="auto"/>
        <w:outlineLvl w:val="1"/>
        <w:rPr>
          <w:b/>
          <w:szCs w:val="26"/>
        </w:rPr>
      </w:pPr>
      <w:r>
        <w:rPr>
          <w:b/>
          <w:szCs w:val="26"/>
        </w:rPr>
        <w:t>How can we tell when a particular section was last updated?</w:t>
      </w:r>
    </w:p>
    <w:p w14:paraId="373691DB" w14:textId="77777777" w:rsidR="006D0F00" w:rsidRDefault="006D0F00" w:rsidP="006D0F00">
      <w:pPr>
        <w:spacing w:after="180"/>
        <w:rPr>
          <w:bCs/>
          <w:szCs w:val="26"/>
        </w:rPr>
      </w:pPr>
      <w:r>
        <w:rPr>
          <w:bCs/>
          <w:szCs w:val="26"/>
        </w:rPr>
        <w:t xml:space="preserve">Beneath the heading of each OCPM </w:t>
      </w:r>
      <w:r w:rsidRPr="0001484E">
        <w:rPr>
          <w:b/>
          <w:szCs w:val="26"/>
        </w:rPr>
        <w:t>section</w:t>
      </w:r>
      <w:r>
        <w:rPr>
          <w:bCs/>
          <w:szCs w:val="26"/>
        </w:rPr>
        <w:t>, there is a line that indicates:</w:t>
      </w:r>
    </w:p>
    <w:p w14:paraId="43865C98" w14:textId="77777777" w:rsidR="006D0F00" w:rsidRDefault="006D0F00" w:rsidP="006D0F00">
      <w:pPr>
        <w:pStyle w:val="ListParagraph"/>
        <w:numPr>
          <w:ilvl w:val="0"/>
          <w:numId w:val="6"/>
        </w:numPr>
        <w:spacing w:after="180" w:line="276" w:lineRule="auto"/>
        <w:contextualSpacing w:val="0"/>
        <w:rPr>
          <w:bCs/>
          <w:szCs w:val="26"/>
        </w:rPr>
      </w:pPr>
      <w:r>
        <w:rPr>
          <w:bCs/>
          <w:szCs w:val="26"/>
        </w:rPr>
        <w:t>T</w:t>
      </w:r>
      <w:r w:rsidRPr="00C70720">
        <w:rPr>
          <w:bCs/>
          <w:szCs w:val="26"/>
        </w:rPr>
        <w:t xml:space="preserve">he date the </w:t>
      </w:r>
      <w:r>
        <w:rPr>
          <w:bCs/>
          <w:szCs w:val="26"/>
        </w:rPr>
        <w:t>current version of the section was issued; and</w:t>
      </w:r>
    </w:p>
    <w:p w14:paraId="149B0B7D" w14:textId="77777777" w:rsidR="006D0F00" w:rsidRDefault="006D0F00" w:rsidP="006D0F00">
      <w:pPr>
        <w:pStyle w:val="ListParagraph"/>
        <w:numPr>
          <w:ilvl w:val="0"/>
          <w:numId w:val="6"/>
        </w:numPr>
        <w:spacing w:after="180" w:line="276" w:lineRule="auto"/>
        <w:contextualSpacing w:val="0"/>
        <w:rPr>
          <w:bCs/>
          <w:szCs w:val="26"/>
        </w:rPr>
      </w:pPr>
      <w:r>
        <w:rPr>
          <w:bCs/>
          <w:szCs w:val="26"/>
        </w:rPr>
        <w:t>The date the current version of the section became effective.</w:t>
      </w:r>
    </w:p>
    <w:p w14:paraId="2E5356F2" w14:textId="16821D1E" w:rsidR="000A7588" w:rsidRPr="000A7588" w:rsidRDefault="000A7588" w:rsidP="004A3A68">
      <w:pPr>
        <w:keepNext/>
        <w:pBdr>
          <w:top w:val="single" w:sz="4" w:space="1" w:color="auto"/>
          <w:left w:val="single" w:sz="4" w:space="4" w:color="auto"/>
          <w:bottom w:val="single" w:sz="4" w:space="1" w:color="auto"/>
          <w:right w:val="single" w:sz="4" w:space="4" w:color="auto"/>
        </w:pBdr>
        <w:tabs>
          <w:tab w:val="left" w:pos="2175"/>
        </w:tabs>
        <w:spacing w:before="120" w:after="120"/>
        <w:rPr>
          <w:b/>
          <w:color w:val="7F7F7F" w:themeColor="text1" w:themeTint="80"/>
          <w:sz w:val="32"/>
          <w:szCs w:val="32"/>
        </w:rPr>
      </w:pPr>
      <w:r w:rsidRPr="000A7588">
        <w:rPr>
          <w:rFonts w:cstheme="minorHAnsi"/>
          <w:i/>
          <w:iCs/>
          <w:szCs w:val="26"/>
        </w:rPr>
        <w:t>Example</w:t>
      </w:r>
      <w:r w:rsidRPr="000A7588">
        <w:rPr>
          <w:rFonts w:cstheme="minorHAnsi"/>
          <w:szCs w:val="26"/>
        </w:rPr>
        <w:t>:</w:t>
      </w:r>
      <w:r>
        <w:rPr>
          <w:rFonts w:cstheme="minorHAnsi"/>
          <w:szCs w:val="26"/>
        </w:rPr>
        <w:t xml:space="preserve">      </w:t>
      </w:r>
      <w:r w:rsidRPr="000A7588">
        <w:rPr>
          <w:rFonts w:cstheme="minorHAnsi"/>
          <w:b/>
          <w:bCs/>
          <w:color w:val="7F7F7F" w:themeColor="text1" w:themeTint="80"/>
          <w:sz w:val="32"/>
          <w:szCs w:val="32"/>
        </w:rPr>
        <w:t>1.4</w:t>
      </w:r>
      <w:r w:rsidRPr="000A7588">
        <w:rPr>
          <w:rFonts w:cstheme="minorHAnsi"/>
          <w:b/>
          <w:bCs/>
          <w:color w:val="7F7F7F" w:themeColor="text1" w:themeTint="80"/>
          <w:sz w:val="32"/>
          <w:szCs w:val="32"/>
        </w:rPr>
        <w:tab/>
      </w:r>
      <w:r w:rsidRPr="000A7588">
        <w:rPr>
          <w:b/>
          <w:color w:val="7F7F7F" w:themeColor="text1" w:themeTint="80"/>
          <w:sz w:val="32"/>
          <w:szCs w:val="32"/>
        </w:rPr>
        <w:t>Updating the OCPM</w:t>
      </w:r>
    </w:p>
    <w:p w14:paraId="67E79D5E" w14:textId="53865480" w:rsidR="002C2EBD" w:rsidRDefault="004A3A68" w:rsidP="004A3A68">
      <w:pPr>
        <w:keepNext/>
        <w:pBdr>
          <w:top w:val="single" w:sz="4" w:space="1" w:color="auto"/>
          <w:left w:val="single" w:sz="4" w:space="4" w:color="auto"/>
          <w:bottom w:val="single" w:sz="4" w:space="1" w:color="auto"/>
          <w:right w:val="single" w:sz="4" w:space="4" w:color="auto"/>
        </w:pBdr>
        <w:spacing w:after="180" w:line="276" w:lineRule="auto"/>
        <w:rPr>
          <w:color w:val="7F7F7F" w:themeColor="text1" w:themeTint="80"/>
          <w:szCs w:val="26"/>
        </w:rPr>
      </w:pPr>
      <w:r>
        <w:rPr>
          <w:color w:val="7F7F7F" w:themeColor="text1" w:themeTint="80"/>
          <w:szCs w:val="26"/>
        </w:rPr>
        <w:t xml:space="preserve">                      </w:t>
      </w:r>
      <w:r w:rsidR="00FC25DC" w:rsidRPr="00FC25DC">
        <w:rPr>
          <w:color w:val="7F7F7F" w:themeColor="text1" w:themeTint="80"/>
          <w:szCs w:val="26"/>
        </w:rPr>
        <w:t>(Issued: 05-25-18, Effective: 05-25-18)</w:t>
      </w:r>
    </w:p>
    <w:p w14:paraId="2337D97A" w14:textId="77777777" w:rsidR="004A3A68" w:rsidRPr="004A3A68" w:rsidRDefault="004A3A68" w:rsidP="004A3A68">
      <w:pPr>
        <w:keepNext/>
        <w:pBdr>
          <w:top w:val="single" w:sz="4" w:space="1" w:color="auto"/>
          <w:left w:val="single" w:sz="4" w:space="4" w:color="auto"/>
          <w:bottom w:val="single" w:sz="4" w:space="1" w:color="auto"/>
          <w:right w:val="single" w:sz="4" w:space="4" w:color="auto"/>
        </w:pBdr>
        <w:spacing w:after="180" w:line="276" w:lineRule="auto"/>
        <w:rPr>
          <w:color w:val="7F7F7F" w:themeColor="text1" w:themeTint="80"/>
          <w:sz w:val="16"/>
          <w:szCs w:val="16"/>
        </w:rPr>
      </w:pPr>
    </w:p>
    <w:p w14:paraId="6096B2A9" w14:textId="206CE9E4" w:rsidR="000A7588" w:rsidRPr="003D7B07" w:rsidRDefault="003D7B07" w:rsidP="003D7B07">
      <w:pPr>
        <w:spacing w:after="180"/>
        <w:rPr>
          <w:bCs/>
          <w:szCs w:val="26"/>
        </w:rPr>
      </w:pPr>
      <w:r>
        <w:rPr>
          <w:bCs/>
          <w:szCs w:val="26"/>
        </w:rPr>
        <w:t xml:space="preserve">This information is listed at the section level only. To determine when a particular </w:t>
      </w:r>
      <w:r w:rsidRPr="0001484E">
        <w:rPr>
          <w:b/>
          <w:szCs w:val="26"/>
        </w:rPr>
        <w:t>subsection</w:t>
      </w:r>
      <w:r>
        <w:rPr>
          <w:bCs/>
          <w:szCs w:val="26"/>
        </w:rPr>
        <w:t xml:space="preserve"> was issued or became effective, consult the list of sections/subsections affected in the revision history table at the end of the chapter (</w:t>
      </w:r>
      <w:r w:rsidRPr="00B953FB">
        <w:rPr>
          <w:bCs/>
          <w:i/>
          <w:szCs w:val="26"/>
        </w:rPr>
        <w:t>see</w:t>
      </w:r>
      <w:r>
        <w:rPr>
          <w:bCs/>
          <w:szCs w:val="26"/>
        </w:rPr>
        <w:t xml:space="preserve"> O</w:t>
      </w:r>
      <w:r w:rsidRPr="00895650">
        <w:rPr>
          <w:bCs/>
          <w:szCs w:val="26"/>
        </w:rPr>
        <w:t>CPM</w:t>
      </w:r>
      <w:r w:rsidR="00277E2E">
        <w:rPr>
          <w:bCs/>
          <w:szCs w:val="26"/>
        </w:rPr>
        <w:t xml:space="preserve"> </w:t>
      </w:r>
      <w:r w:rsidR="00277E2E" w:rsidRPr="00277E2E">
        <w:rPr>
          <w:bCs/>
          <w:color w:val="0000FF"/>
          <w:szCs w:val="26"/>
          <w:u w:val="single"/>
        </w:rPr>
        <w:fldChar w:fldCharType="begin"/>
      </w:r>
      <w:r w:rsidR="00277E2E" w:rsidRPr="00277E2E">
        <w:rPr>
          <w:bCs/>
          <w:color w:val="0000FF"/>
          <w:szCs w:val="26"/>
          <w:u w:val="single"/>
        </w:rPr>
        <w:instrText xml:space="preserve"> REF _Ref513556138 \r \h </w:instrText>
      </w:r>
      <w:r w:rsidR="00277E2E">
        <w:rPr>
          <w:bCs/>
          <w:color w:val="0000FF"/>
          <w:szCs w:val="26"/>
          <w:u w:val="single"/>
        </w:rPr>
        <w:instrText xml:space="preserve"> \* MERGEFORMAT </w:instrText>
      </w:r>
      <w:r w:rsidR="00277E2E" w:rsidRPr="00277E2E">
        <w:rPr>
          <w:bCs/>
          <w:color w:val="0000FF"/>
          <w:szCs w:val="26"/>
          <w:u w:val="single"/>
        </w:rPr>
      </w:r>
      <w:r w:rsidR="00277E2E" w:rsidRPr="00277E2E">
        <w:rPr>
          <w:bCs/>
          <w:color w:val="0000FF"/>
          <w:szCs w:val="26"/>
          <w:u w:val="single"/>
        </w:rPr>
        <w:fldChar w:fldCharType="separate"/>
      </w:r>
      <w:r w:rsidR="00277E2E" w:rsidRPr="00277E2E">
        <w:rPr>
          <w:bCs/>
          <w:color w:val="0000FF"/>
          <w:szCs w:val="26"/>
          <w:u w:val="single"/>
        </w:rPr>
        <w:t>1.4.1</w:t>
      </w:r>
      <w:r w:rsidR="00277E2E" w:rsidRPr="00277E2E">
        <w:rPr>
          <w:bCs/>
          <w:color w:val="0000FF"/>
          <w:szCs w:val="26"/>
          <w:u w:val="single"/>
        </w:rPr>
        <w:fldChar w:fldCharType="end"/>
      </w:r>
      <w:r w:rsidRPr="00895650">
        <w:rPr>
          <w:bCs/>
          <w:szCs w:val="26"/>
        </w:rPr>
        <w:t>).</w:t>
      </w:r>
    </w:p>
    <w:p w14:paraId="7F73F69F" w14:textId="31058C27" w:rsidR="00D7370E" w:rsidRPr="001D1A07" w:rsidRDefault="001D1A07" w:rsidP="00E228F9">
      <w:pPr>
        <w:pStyle w:val="ListParagraph"/>
        <w:keepNext/>
        <w:numPr>
          <w:ilvl w:val="1"/>
          <w:numId w:val="1"/>
        </w:numPr>
        <w:spacing w:after="180" w:line="276" w:lineRule="auto"/>
        <w:outlineLvl w:val="1"/>
        <w:rPr>
          <w:b/>
          <w:szCs w:val="26"/>
        </w:rPr>
      </w:pPr>
      <w:r w:rsidRPr="00895650">
        <w:rPr>
          <w:b/>
          <w:szCs w:val="26"/>
        </w:rPr>
        <w:t>How do we view prior versions of an OCPM chapter?</w:t>
      </w:r>
    </w:p>
    <w:p w14:paraId="12BE35A1" w14:textId="4D6B2A8F" w:rsidR="00EE2F3E" w:rsidRPr="00F26169" w:rsidRDefault="00F26169">
      <w:pPr>
        <w:rPr>
          <w:rFonts w:cs="Calibri"/>
          <w:b/>
          <w:sz w:val="32"/>
          <w:szCs w:val="32"/>
          <w:lang w:val="es-MX"/>
        </w:rPr>
      </w:pPr>
      <w:r w:rsidRPr="00895650">
        <w:rPr>
          <w:bCs/>
          <w:szCs w:val="26"/>
        </w:rPr>
        <w:t>The revision history table at the end of each OCPM chapter (</w:t>
      </w:r>
      <w:r w:rsidRPr="00B953FB">
        <w:rPr>
          <w:bCs/>
          <w:i/>
          <w:szCs w:val="26"/>
        </w:rPr>
        <w:t>see</w:t>
      </w:r>
      <w:r w:rsidRPr="00895650">
        <w:rPr>
          <w:bCs/>
          <w:szCs w:val="26"/>
        </w:rPr>
        <w:t xml:space="preserve"> OCPM </w:t>
      </w:r>
      <w:r w:rsidR="00277E2E" w:rsidRPr="00277E2E">
        <w:rPr>
          <w:bCs/>
          <w:color w:val="0000FF"/>
          <w:szCs w:val="26"/>
          <w:u w:val="single"/>
        </w:rPr>
        <w:fldChar w:fldCharType="begin"/>
      </w:r>
      <w:r w:rsidR="00277E2E" w:rsidRPr="00277E2E">
        <w:rPr>
          <w:bCs/>
          <w:color w:val="0000FF"/>
          <w:szCs w:val="26"/>
          <w:u w:val="single"/>
        </w:rPr>
        <w:instrText xml:space="preserve"> REF _Ref513556138 \r \h </w:instrText>
      </w:r>
      <w:r w:rsidR="00277E2E">
        <w:rPr>
          <w:bCs/>
          <w:color w:val="0000FF"/>
          <w:szCs w:val="26"/>
          <w:u w:val="single"/>
        </w:rPr>
        <w:instrText xml:space="preserve"> \* MERGEFORMAT </w:instrText>
      </w:r>
      <w:r w:rsidR="00277E2E" w:rsidRPr="00277E2E">
        <w:rPr>
          <w:bCs/>
          <w:color w:val="0000FF"/>
          <w:szCs w:val="26"/>
          <w:u w:val="single"/>
        </w:rPr>
      </w:r>
      <w:r w:rsidR="00277E2E" w:rsidRPr="00277E2E">
        <w:rPr>
          <w:bCs/>
          <w:color w:val="0000FF"/>
          <w:szCs w:val="26"/>
          <w:u w:val="single"/>
        </w:rPr>
        <w:fldChar w:fldCharType="separate"/>
      </w:r>
      <w:r w:rsidR="00277E2E" w:rsidRPr="00277E2E">
        <w:rPr>
          <w:bCs/>
          <w:color w:val="0000FF"/>
          <w:szCs w:val="26"/>
          <w:u w:val="single"/>
        </w:rPr>
        <w:t>1.4.1</w:t>
      </w:r>
      <w:r w:rsidR="00277E2E" w:rsidRPr="00277E2E">
        <w:rPr>
          <w:bCs/>
          <w:color w:val="0000FF"/>
          <w:szCs w:val="26"/>
          <w:u w:val="single"/>
        </w:rPr>
        <w:fldChar w:fldCharType="end"/>
      </w:r>
      <w:r w:rsidRPr="00895650">
        <w:rPr>
          <w:bCs/>
          <w:szCs w:val="26"/>
        </w:rPr>
        <w:t>) contains an anchor link to the OCPM website where you can view all prior versions of t</w:t>
      </w:r>
      <w:r>
        <w:rPr>
          <w:bCs/>
          <w:szCs w:val="26"/>
        </w:rPr>
        <w:t>he current chapter, if any.</w:t>
      </w:r>
    </w:p>
    <w:p w14:paraId="4D3D1A4D" w14:textId="77777777" w:rsidR="008F75D4" w:rsidRDefault="008F75D4">
      <w:pPr>
        <w:rPr>
          <w:rFonts w:cs="Calibri"/>
          <w:b/>
          <w:szCs w:val="26"/>
        </w:rPr>
      </w:pPr>
      <w:r>
        <w:rPr>
          <w:rFonts w:cs="Calibri"/>
          <w:b/>
          <w:szCs w:val="26"/>
        </w:rPr>
        <w:br w:type="page"/>
      </w:r>
    </w:p>
    <w:p w14:paraId="3198F0AC" w14:textId="234C9D59" w:rsidR="00001054" w:rsidRPr="00D271E6" w:rsidRDefault="00001054" w:rsidP="00001054">
      <w:pPr>
        <w:spacing w:after="180"/>
        <w:rPr>
          <w:rFonts w:cs="Calibri"/>
          <w:b/>
          <w:szCs w:val="26"/>
        </w:rPr>
      </w:pPr>
      <w:r w:rsidRPr="00D271E6">
        <w:rPr>
          <w:rFonts w:cs="Calibri"/>
          <w:b/>
          <w:szCs w:val="26"/>
        </w:rPr>
        <w:lastRenderedPageBreak/>
        <w:t>Revision history</w:t>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620" w:firstRow="1" w:lastRow="0" w:firstColumn="0" w:lastColumn="0" w:noHBand="1" w:noVBand="1"/>
      </w:tblPr>
      <w:tblGrid>
        <w:gridCol w:w="1797"/>
        <w:gridCol w:w="4574"/>
        <w:gridCol w:w="2959"/>
      </w:tblGrid>
      <w:tr w:rsidR="00001054" w:rsidRPr="00D271E6" w14:paraId="2800D69B" w14:textId="77777777" w:rsidTr="00DE3374">
        <w:trPr>
          <w:tblHeader/>
        </w:trPr>
        <w:tc>
          <w:tcPr>
            <w:tcW w:w="1818" w:type="dxa"/>
            <w:shd w:val="clear" w:color="auto" w:fill="D9D9D9" w:themeFill="background1" w:themeFillShade="D9"/>
            <w:vAlign w:val="center"/>
          </w:tcPr>
          <w:p w14:paraId="5355C502" w14:textId="77777777" w:rsidR="00001054" w:rsidRPr="00D271E6" w:rsidRDefault="00001054" w:rsidP="00001AF7">
            <w:pPr>
              <w:spacing w:before="120" w:after="120"/>
              <w:jc w:val="center"/>
              <w:rPr>
                <w:rFonts w:cs="Calibri"/>
                <w:b/>
                <w:szCs w:val="26"/>
              </w:rPr>
            </w:pPr>
            <w:r w:rsidRPr="00D271E6">
              <w:rPr>
                <w:rFonts w:cs="Calibri"/>
                <w:b/>
                <w:szCs w:val="26"/>
              </w:rPr>
              <w:t>Date</w:t>
            </w:r>
          </w:p>
        </w:tc>
        <w:tc>
          <w:tcPr>
            <w:tcW w:w="4770" w:type="dxa"/>
            <w:shd w:val="clear" w:color="auto" w:fill="D9D9D9" w:themeFill="background1" w:themeFillShade="D9"/>
            <w:vAlign w:val="center"/>
          </w:tcPr>
          <w:p w14:paraId="1C73C55B" w14:textId="77777777" w:rsidR="00001054" w:rsidRPr="00D271E6" w:rsidRDefault="00001054" w:rsidP="00001AF7">
            <w:pPr>
              <w:spacing w:before="120" w:after="120"/>
              <w:rPr>
                <w:rFonts w:cs="Calibri"/>
                <w:b/>
                <w:szCs w:val="26"/>
              </w:rPr>
            </w:pPr>
            <w:r w:rsidRPr="00D271E6">
              <w:rPr>
                <w:rFonts w:cs="Calibri"/>
                <w:b/>
                <w:szCs w:val="26"/>
              </w:rPr>
              <w:t>Description</w:t>
            </w:r>
          </w:p>
        </w:tc>
        <w:tc>
          <w:tcPr>
            <w:tcW w:w="2988" w:type="dxa"/>
            <w:shd w:val="clear" w:color="auto" w:fill="D9D9D9" w:themeFill="background1" w:themeFillShade="D9"/>
            <w:vAlign w:val="center"/>
          </w:tcPr>
          <w:p w14:paraId="2066EF8E" w14:textId="77777777" w:rsidR="00001054" w:rsidRPr="00D271E6" w:rsidRDefault="00001054" w:rsidP="00001AF7">
            <w:pPr>
              <w:spacing w:before="120" w:after="120"/>
              <w:rPr>
                <w:rFonts w:cs="Calibri"/>
                <w:b/>
                <w:szCs w:val="26"/>
              </w:rPr>
            </w:pPr>
            <w:r w:rsidRPr="00D271E6">
              <w:rPr>
                <w:rFonts w:cs="Calibri"/>
                <w:b/>
                <w:szCs w:val="26"/>
              </w:rPr>
              <w:t>Sections/subsections updated</w:t>
            </w:r>
          </w:p>
        </w:tc>
      </w:tr>
      <w:tr w:rsidR="00001054" w:rsidRPr="00D271E6" w14:paraId="5984E1F9" w14:textId="77777777" w:rsidTr="00DE3374">
        <w:trPr>
          <w:tblHeader/>
        </w:trPr>
        <w:tc>
          <w:tcPr>
            <w:tcW w:w="1818" w:type="dxa"/>
            <w:vAlign w:val="center"/>
          </w:tcPr>
          <w:p w14:paraId="4335BEBE" w14:textId="6F5DF59E" w:rsidR="00001054" w:rsidRPr="00D271E6" w:rsidRDefault="00FD5484" w:rsidP="00001AF7">
            <w:pPr>
              <w:spacing w:before="120" w:after="120"/>
              <w:jc w:val="center"/>
              <w:rPr>
                <w:rFonts w:cs="Calibri"/>
                <w:bCs/>
                <w:szCs w:val="26"/>
              </w:rPr>
            </w:pPr>
            <w:r>
              <w:rPr>
                <w:bCs/>
                <w:szCs w:val="26"/>
              </w:rPr>
              <w:t>05/25/2018</w:t>
            </w:r>
          </w:p>
        </w:tc>
        <w:tc>
          <w:tcPr>
            <w:tcW w:w="4770" w:type="dxa"/>
            <w:vAlign w:val="center"/>
          </w:tcPr>
          <w:p w14:paraId="7FE34EF8" w14:textId="77777777" w:rsidR="00001054" w:rsidRPr="00D271E6" w:rsidRDefault="00001054" w:rsidP="00001AF7">
            <w:pPr>
              <w:spacing w:before="120" w:after="120"/>
              <w:rPr>
                <w:rFonts w:cs="Calibri"/>
                <w:bCs/>
                <w:szCs w:val="26"/>
              </w:rPr>
            </w:pPr>
            <w:r w:rsidRPr="00D271E6">
              <w:rPr>
                <w:rFonts w:cs="Calibri"/>
                <w:bCs/>
                <w:szCs w:val="26"/>
              </w:rPr>
              <w:t>Initial Release</w:t>
            </w:r>
          </w:p>
        </w:tc>
        <w:tc>
          <w:tcPr>
            <w:tcW w:w="2988" w:type="dxa"/>
            <w:vAlign w:val="center"/>
          </w:tcPr>
          <w:p w14:paraId="4E597907" w14:textId="77777777" w:rsidR="00001054" w:rsidRPr="00D271E6" w:rsidRDefault="00001054" w:rsidP="00001AF7">
            <w:pPr>
              <w:spacing w:before="120" w:after="120"/>
              <w:rPr>
                <w:rFonts w:cs="Calibri"/>
                <w:bCs/>
                <w:szCs w:val="26"/>
              </w:rPr>
            </w:pPr>
            <w:r w:rsidRPr="00D271E6">
              <w:rPr>
                <w:rFonts w:cs="Calibri"/>
                <w:bCs/>
                <w:szCs w:val="26"/>
              </w:rPr>
              <w:t>N/A</w:t>
            </w:r>
          </w:p>
        </w:tc>
      </w:tr>
    </w:tbl>
    <w:p w14:paraId="6DE7B0B6" w14:textId="256036EB" w:rsidR="00EE2F3E" w:rsidRPr="00D271E6" w:rsidRDefault="00001054" w:rsidP="00731290">
      <w:pPr>
        <w:spacing w:before="120" w:after="180"/>
        <w:rPr>
          <w:rFonts w:cs="Calibri"/>
        </w:rPr>
      </w:pPr>
      <w:r w:rsidRPr="00D271E6">
        <w:rPr>
          <w:rFonts w:cs="Calibri"/>
          <w:bCs/>
          <w:szCs w:val="26"/>
        </w:rPr>
        <w:t xml:space="preserve">If the table above indicates there are prior versions of this chapter, click </w:t>
      </w:r>
      <w:hyperlink r:id="rId22" w:history="1">
        <w:r w:rsidRPr="00DC7A57">
          <w:rPr>
            <w:rStyle w:val="Hyperlink"/>
            <w:rFonts w:cs="Calibri"/>
            <w:bCs/>
            <w:color w:val="0000FF"/>
            <w:szCs w:val="26"/>
          </w:rPr>
          <w:t>here</w:t>
        </w:r>
      </w:hyperlink>
      <w:r w:rsidRPr="00D271E6">
        <w:rPr>
          <w:rFonts w:cs="Calibri"/>
          <w:bCs/>
          <w:szCs w:val="26"/>
        </w:rPr>
        <w:t xml:space="preserve"> to view them.</w:t>
      </w:r>
    </w:p>
    <w:sectPr w:rsidR="00EE2F3E" w:rsidRPr="00D271E6" w:rsidSect="00EE2F3E">
      <w:headerReference w:type="default" r:id="rId23"/>
      <w:pgSz w:w="12240" w:h="15840"/>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F1987" w14:textId="77777777" w:rsidR="00E92FAB" w:rsidRDefault="00E92FAB" w:rsidP="00FC5A15">
      <w:pPr>
        <w:spacing w:after="0" w:line="240" w:lineRule="auto"/>
      </w:pPr>
      <w:r>
        <w:separator/>
      </w:r>
    </w:p>
  </w:endnote>
  <w:endnote w:type="continuationSeparator" w:id="0">
    <w:p w14:paraId="53E096BB" w14:textId="77777777" w:rsidR="00E92FAB" w:rsidRDefault="00E92FAB" w:rsidP="00FC5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elior">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DDC35" w14:textId="77777777" w:rsidR="00E92FAB" w:rsidRDefault="00E92FAB" w:rsidP="00FC5A15">
      <w:pPr>
        <w:spacing w:after="0" w:line="240" w:lineRule="auto"/>
      </w:pPr>
      <w:r>
        <w:separator/>
      </w:r>
    </w:p>
  </w:footnote>
  <w:footnote w:type="continuationSeparator" w:id="0">
    <w:p w14:paraId="5F5F43F8" w14:textId="77777777" w:rsidR="00E92FAB" w:rsidRDefault="00E92FAB" w:rsidP="00FC5A15">
      <w:pPr>
        <w:spacing w:after="0" w:line="240" w:lineRule="auto"/>
      </w:pPr>
      <w:r>
        <w:continuationSeparator/>
      </w:r>
    </w:p>
  </w:footnote>
  <w:footnote w:id="1">
    <w:p w14:paraId="14B2B9D1" w14:textId="77777777" w:rsidR="00005D28" w:rsidRDefault="00005D28" w:rsidP="00005D28">
      <w:pPr>
        <w:pStyle w:val="FootnoteText"/>
      </w:pPr>
      <w:r>
        <w:rPr>
          <w:rStyle w:val="FootnoteReference"/>
        </w:rPr>
        <w:footnoteRef/>
      </w:r>
      <w:r>
        <w:t xml:space="preserve"> Effective June 15, 2018.</w:t>
      </w:r>
    </w:p>
  </w:footnote>
  <w:footnote w:id="2">
    <w:p w14:paraId="02D4629A" w14:textId="77777777" w:rsidR="00A66E9C" w:rsidRPr="00EA3B37" w:rsidRDefault="00A66E9C" w:rsidP="00A66E9C">
      <w:pPr>
        <w:pStyle w:val="FootnoteText"/>
      </w:pPr>
      <w:r>
        <w:rPr>
          <w:rStyle w:val="FootnoteReference"/>
        </w:rPr>
        <w:footnoteRef/>
      </w:r>
      <w:r>
        <w:t xml:space="preserve"> </w:t>
      </w:r>
      <w:hyperlink r:id="rId1" w:history="1">
        <w:r w:rsidRPr="00DB5F44">
          <w:rPr>
            <w:rStyle w:val="Hyperlink"/>
            <w:color w:val="0000FF"/>
          </w:rPr>
          <w:t>42 C.F.R. § 405.1006(e)(1)(iii), (e)(2)(iii)</w:t>
        </w:r>
      </w:hyperlink>
      <w:r w:rsidRPr="00EA3B37">
        <w:t>.</w:t>
      </w:r>
    </w:p>
  </w:footnote>
  <w:footnote w:id="3">
    <w:p w14:paraId="620F147A" w14:textId="77777777" w:rsidR="00A66E9C" w:rsidRDefault="00A66E9C" w:rsidP="00A66E9C">
      <w:pPr>
        <w:pStyle w:val="FootnoteText"/>
      </w:pPr>
      <w:r w:rsidRPr="00EA3B37">
        <w:rPr>
          <w:rStyle w:val="FootnoteReference"/>
        </w:rPr>
        <w:footnoteRef/>
      </w:r>
      <w:r w:rsidRPr="00EA3B37">
        <w:t xml:space="preserve"> </w:t>
      </w:r>
      <w:r w:rsidRPr="00B953FB">
        <w:rPr>
          <w:i/>
        </w:rPr>
        <w:t>See also</w:t>
      </w:r>
      <w:r w:rsidRPr="00EA3B37">
        <w:t xml:space="preserve"> </w:t>
      </w:r>
      <w:hyperlink r:id="rId2" w:history="1">
        <w:r w:rsidRPr="00DB5F44">
          <w:rPr>
            <w:rStyle w:val="Hyperlink"/>
            <w:color w:val="0000FF"/>
          </w:rPr>
          <w:t>42 C.F.R. §§ 405.1056(g)</w:t>
        </w:r>
      </w:hyperlink>
      <w:r w:rsidRPr="00DB5F44">
        <w:rPr>
          <w:color w:val="0000FF"/>
        </w:rPr>
        <w:t xml:space="preserve">, </w:t>
      </w:r>
      <w:hyperlink r:id="rId3" w:history="1">
        <w:r w:rsidRPr="00DB5F44">
          <w:rPr>
            <w:rStyle w:val="Hyperlink"/>
            <w:color w:val="0000FF"/>
          </w:rPr>
          <w:t>423.2056(g)</w:t>
        </w:r>
      </w:hyperlink>
      <w:r w:rsidRPr="00EA3B37">
        <w:t>.</w:t>
      </w:r>
    </w:p>
  </w:footnote>
  <w:footnote w:id="4">
    <w:p w14:paraId="35A7CD58" w14:textId="77777777" w:rsidR="00C2544D" w:rsidRPr="00EA3B37" w:rsidRDefault="00C2544D" w:rsidP="00C2544D">
      <w:pPr>
        <w:pStyle w:val="FootnoteText"/>
      </w:pPr>
      <w:r>
        <w:rPr>
          <w:rStyle w:val="FootnoteReference"/>
        </w:rPr>
        <w:footnoteRef/>
      </w:r>
      <w:r>
        <w:t xml:space="preserve"> </w:t>
      </w:r>
      <w:r w:rsidRPr="003621FD">
        <w:rPr>
          <w:i/>
          <w:iCs/>
        </w:rPr>
        <w:t>See also</w:t>
      </w:r>
      <w:r>
        <w:t xml:space="preserve"> </w:t>
      </w:r>
      <w:hyperlink r:id="rId4" w:history="1">
        <w:r w:rsidRPr="00A67E3E">
          <w:rPr>
            <w:rStyle w:val="Hyperlink"/>
            <w:color w:val="0000FF"/>
          </w:rPr>
          <w:t>42 C.F.R. §§ 422.560(a)(3)</w:t>
        </w:r>
      </w:hyperlink>
      <w:r w:rsidRPr="00A67E3E">
        <w:rPr>
          <w:color w:val="0000FF"/>
        </w:rPr>
        <w:t xml:space="preserve">, </w:t>
      </w:r>
      <w:hyperlink r:id="rId5" w:history="1">
        <w:r w:rsidRPr="00A67E3E">
          <w:rPr>
            <w:rStyle w:val="Hyperlink"/>
            <w:color w:val="0000FF"/>
          </w:rPr>
          <w:t>422.561</w:t>
        </w:r>
      </w:hyperlink>
      <w:r w:rsidRPr="00A67E3E">
        <w:rPr>
          <w:color w:val="0000FF"/>
        </w:rPr>
        <w:t xml:space="preserve">, </w:t>
      </w:r>
      <w:hyperlink r:id="rId6" w:history="1">
        <w:r w:rsidRPr="00A67E3E">
          <w:rPr>
            <w:rStyle w:val="Hyperlink"/>
            <w:color w:val="0000FF"/>
          </w:rPr>
          <w:t>422.600(b)</w:t>
        </w:r>
      </w:hyperlink>
      <w:r w:rsidRPr="00A67E3E">
        <w:rPr>
          <w:color w:val="0000FF"/>
        </w:rPr>
        <w:t xml:space="preserve">, </w:t>
      </w:r>
      <w:hyperlink r:id="rId7" w:history="1">
        <w:r w:rsidRPr="00A67E3E">
          <w:rPr>
            <w:rStyle w:val="Hyperlink"/>
            <w:color w:val="0000FF"/>
          </w:rPr>
          <w:t>422.602(b)</w:t>
        </w:r>
      </w:hyperlink>
      <w:r w:rsidRPr="00A67E3E">
        <w:rPr>
          <w:color w:val="0000FF"/>
        </w:rPr>
        <w:t xml:space="preserve">, </w:t>
      </w:r>
      <w:hyperlink r:id="rId8" w:history="1">
        <w:r w:rsidRPr="00A67E3E">
          <w:rPr>
            <w:rStyle w:val="Hyperlink"/>
            <w:color w:val="0000FF"/>
          </w:rPr>
          <w:t>422.608</w:t>
        </w:r>
      </w:hyperlink>
      <w:r w:rsidRPr="00A67E3E">
        <w:rPr>
          <w:color w:val="0000FF"/>
        </w:rPr>
        <w:t xml:space="preserve">, </w:t>
      </w:r>
      <w:hyperlink r:id="rId9" w:history="1">
        <w:r w:rsidRPr="00A67E3E">
          <w:rPr>
            <w:rStyle w:val="Hyperlink"/>
            <w:color w:val="0000FF"/>
          </w:rPr>
          <w:t>422.612</w:t>
        </w:r>
      </w:hyperlink>
      <w:r w:rsidRPr="00A67E3E">
        <w:rPr>
          <w:color w:val="0000FF"/>
        </w:rPr>
        <w:t xml:space="preserve">, </w:t>
      </w:r>
      <w:hyperlink r:id="rId10" w:history="1">
        <w:r w:rsidRPr="00A67E3E">
          <w:rPr>
            <w:rStyle w:val="Hyperlink"/>
            <w:color w:val="0000FF"/>
          </w:rPr>
          <w:t>422.616</w:t>
        </w:r>
      </w:hyperlink>
      <w:r w:rsidRPr="00EA3B37">
        <w:t>.</w:t>
      </w:r>
    </w:p>
  </w:footnote>
  <w:footnote w:id="5">
    <w:p w14:paraId="017D8103" w14:textId="77777777" w:rsidR="00C2544D" w:rsidRPr="00EA3B37" w:rsidRDefault="00C2544D" w:rsidP="00C2544D">
      <w:pPr>
        <w:pStyle w:val="FootnoteText"/>
      </w:pPr>
      <w:r w:rsidRPr="00EA3B37">
        <w:rPr>
          <w:rStyle w:val="FootnoteReference"/>
        </w:rPr>
        <w:footnoteRef/>
      </w:r>
      <w:r w:rsidRPr="00EA3B37">
        <w:t xml:space="preserve"> </w:t>
      </w:r>
      <w:r w:rsidRPr="003621FD">
        <w:rPr>
          <w:i/>
          <w:iCs/>
        </w:rPr>
        <w:t>See also</w:t>
      </w:r>
      <w:r w:rsidRPr="00EA3B37">
        <w:t xml:space="preserve"> </w:t>
      </w:r>
      <w:hyperlink r:id="rId11" w:history="1">
        <w:r w:rsidRPr="00A67E3E">
          <w:rPr>
            <w:rStyle w:val="Hyperlink"/>
            <w:color w:val="0000FF"/>
          </w:rPr>
          <w:t>42 C.F.R. § 417.840</w:t>
        </w:r>
      </w:hyperlink>
      <w:r w:rsidRPr="00EA3B37">
        <w:t>.</w:t>
      </w:r>
    </w:p>
  </w:footnote>
  <w:footnote w:id="6">
    <w:p w14:paraId="46CB13FA" w14:textId="77777777" w:rsidR="00C2544D" w:rsidRPr="00EA3B37" w:rsidRDefault="00C2544D" w:rsidP="00C2544D">
      <w:pPr>
        <w:pStyle w:val="FootnoteText"/>
      </w:pPr>
      <w:r w:rsidRPr="00EA3B37">
        <w:rPr>
          <w:rStyle w:val="FootnoteReference"/>
        </w:rPr>
        <w:footnoteRef/>
      </w:r>
      <w:r w:rsidRPr="00EA3B37">
        <w:t xml:space="preserve"> </w:t>
      </w:r>
      <w:r w:rsidRPr="003621FD">
        <w:rPr>
          <w:i/>
          <w:iCs/>
        </w:rPr>
        <w:t>See also</w:t>
      </w:r>
      <w:r w:rsidRPr="00EA3B37">
        <w:t xml:space="preserve"> </w:t>
      </w:r>
      <w:hyperlink r:id="rId12" w:history="1">
        <w:r w:rsidRPr="00A67E3E">
          <w:rPr>
            <w:rStyle w:val="Hyperlink"/>
            <w:color w:val="0000FF"/>
          </w:rPr>
          <w:t>42 C.F.R. §§ 423.560</w:t>
        </w:r>
      </w:hyperlink>
      <w:r w:rsidRPr="00A67E3E">
        <w:rPr>
          <w:color w:val="0000FF"/>
        </w:rPr>
        <w:t xml:space="preserve">, </w:t>
      </w:r>
      <w:hyperlink r:id="rId13" w:history="1">
        <w:r w:rsidRPr="00A67E3E">
          <w:rPr>
            <w:rStyle w:val="Hyperlink"/>
            <w:color w:val="0000FF"/>
          </w:rPr>
          <w:t>423.1980(b)(3)</w:t>
        </w:r>
      </w:hyperlink>
      <w:r w:rsidRPr="00A67E3E">
        <w:rPr>
          <w:color w:val="0000FF"/>
        </w:rPr>
        <w:t xml:space="preserve">, </w:t>
      </w:r>
      <w:hyperlink r:id="rId14" w:history="1">
        <w:r w:rsidRPr="00A67E3E">
          <w:rPr>
            <w:rStyle w:val="Hyperlink"/>
            <w:color w:val="0000FF"/>
          </w:rPr>
          <w:t>423.2014(e)(4)</w:t>
        </w:r>
      </w:hyperlink>
      <w:r w:rsidRPr="00A67E3E">
        <w:rPr>
          <w:color w:val="0000FF"/>
        </w:rPr>
        <w:t xml:space="preserve">, </w:t>
      </w:r>
      <w:hyperlink r:id="rId15" w:history="1">
        <w:r w:rsidRPr="00A67E3E">
          <w:rPr>
            <w:rStyle w:val="Hyperlink"/>
            <w:color w:val="0000FF"/>
          </w:rPr>
          <w:t>423.2102(b)(2)</w:t>
        </w:r>
      </w:hyperlink>
      <w:r w:rsidRPr="00A67E3E">
        <w:rPr>
          <w:color w:val="0000FF"/>
        </w:rPr>
        <w:t xml:space="preserve">, </w:t>
      </w:r>
      <w:hyperlink r:id="rId16" w:history="1">
        <w:r w:rsidRPr="00A67E3E">
          <w:rPr>
            <w:rStyle w:val="Hyperlink"/>
            <w:color w:val="0000FF"/>
          </w:rPr>
          <w:t>423.2134</w:t>
        </w:r>
      </w:hyperlink>
      <w:r w:rsidRPr="00A67E3E">
        <w:rPr>
          <w:color w:val="0000FF"/>
        </w:rPr>
        <w:t xml:space="preserve">, </w:t>
      </w:r>
      <w:hyperlink r:id="rId17" w:history="1">
        <w:r w:rsidRPr="00A67E3E">
          <w:rPr>
            <w:rStyle w:val="Hyperlink"/>
            <w:color w:val="0000FF"/>
          </w:rPr>
          <w:t>423.2140(b)(2)(ii)</w:t>
        </w:r>
      </w:hyperlink>
      <w:r w:rsidRPr="00EA3B37">
        <w:t>.</w:t>
      </w:r>
    </w:p>
  </w:footnote>
  <w:footnote w:id="7">
    <w:p w14:paraId="77CA2706" w14:textId="77777777" w:rsidR="00C2544D" w:rsidRDefault="00C2544D" w:rsidP="00C2544D">
      <w:pPr>
        <w:pStyle w:val="FootnoteText"/>
      </w:pPr>
      <w:r w:rsidRPr="00EA3B37">
        <w:rPr>
          <w:rStyle w:val="FootnoteReference"/>
        </w:rPr>
        <w:footnoteRef/>
      </w:r>
      <w:r w:rsidRPr="00EA3B37">
        <w:t xml:space="preserve"> </w:t>
      </w:r>
      <w:r w:rsidRPr="003621FD">
        <w:rPr>
          <w:i/>
          <w:iCs/>
        </w:rPr>
        <w:t>See also</w:t>
      </w:r>
      <w:r w:rsidRPr="00EA3B37">
        <w:t xml:space="preserve"> </w:t>
      </w:r>
      <w:hyperlink r:id="rId18" w:history="1">
        <w:r w:rsidRPr="00A67E3E">
          <w:rPr>
            <w:rStyle w:val="Hyperlink"/>
            <w:color w:val="0000FF"/>
          </w:rPr>
          <w:t>42 C.F.R. § 478.44(a)</w:t>
        </w:r>
      </w:hyperlink>
      <w:r w:rsidRPr="00A67E3E">
        <w:rPr>
          <w:color w:val="0000FF"/>
        </w:rPr>
        <w:t xml:space="preserve">, </w:t>
      </w:r>
      <w:hyperlink r:id="rId19" w:history="1">
        <w:r w:rsidRPr="00A67E3E">
          <w:rPr>
            <w:rStyle w:val="Hyperlink"/>
            <w:color w:val="0000FF"/>
          </w:rPr>
          <w:t>478.46(a)</w:t>
        </w:r>
      </w:hyperlink>
      <w:r w:rsidRPr="00A67E3E">
        <w:rPr>
          <w:color w:val="0000FF"/>
        </w:rPr>
        <w:t xml:space="preserve">, </w:t>
      </w:r>
      <w:hyperlink r:id="rId20" w:history="1">
        <w:r w:rsidRPr="00A67E3E">
          <w:rPr>
            <w:rStyle w:val="Hyperlink"/>
            <w:color w:val="0000FF"/>
          </w:rPr>
          <w:t>478.48(b)</w:t>
        </w:r>
      </w:hyperlink>
      <w:r w:rsidRPr="00A67E3E">
        <w:t>.</w:t>
      </w:r>
    </w:p>
  </w:footnote>
  <w:footnote w:id="8">
    <w:p w14:paraId="69715AFE" w14:textId="77777777" w:rsidR="007F53C0" w:rsidRDefault="007F53C0" w:rsidP="007F53C0">
      <w:pPr>
        <w:pStyle w:val="FootnoteText"/>
      </w:pPr>
      <w:r>
        <w:rPr>
          <w:rStyle w:val="FootnoteReference"/>
        </w:rPr>
        <w:footnoteRef/>
      </w:r>
      <w:r>
        <w:t xml:space="preserve"> </w:t>
      </w:r>
      <w:r w:rsidRPr="00B953FB">
        <w:rPr>
          <w:i/>
        </w:rPr>
        <w:t>See</w:t>
      </w:r>
      <w:r>
        <w:t xml:space="preserve"> </w:t>
      </w:r>
      <w:hyperlink r:id="rId21" w:history="1">
        <w:r w:rsidRPr="00A67E3E">
          <w:rPr>
            <w:rStyle w:val="Hyperlink"/>
            <w:color w:val="0000FF"/>
          </w:rPr>
          <w:t>42 C.F.R. §§ 422.578</w:t>
        </w:r>
      </w:hyperlink>
      <w:r w:rsidRPr="00A67E3E">
        <w:rPr>
          <w:color w:val="0000FF"/>
        </w:rPr>
        <w:t>–</w:t>
      </w:r>
      <w:hyperlink r:id="rId22" w:history="1">
        <w:r w:rsidRPr="00A67E3E">
          <w:rPr>
            <w:rStyle w:val="Hyperlink"/>
            <w:color w:val="0000FF"/>
          </w:rPr>
          <w:t>422.590</w:t>
        </w:r>
      </w:hyperlink>
      <w:r w:rsidRPr="00EA3B3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ACF4C" w14:textId="355F5BA5" w:rsidR="00F056F8" w:rsidRPr="00CE0745" w:rsidRDefault="00CE0745" w:rsidP="00CE0745">
    <w:pPr>
      <w:pStyle w:val="Footer"/>
      <w:spacing w:after="120"/>
      <w:rPr>
        <w:noProof/>
        <w:sz w:val="22"/>
        <w:szCs w:val="24"/>
      </w:rPr>
    </w:pPr>
    <w:r w:rsidRPr="00C25E31">
      <w:rPr>
        <w:sz w:val="22"/>
        <w:szCs w:val="24"/>
      </w:rPr>
      <w:t>Manual Overview, Definition, and Governance</w:t>
    </w:r>
    <w:r w:rsidRPr="00C25E31">
      <w:rPr>
        <w:sz w:val="22"/>
        <w:szCs w:val="24"/>
      </w:rPr>
      <w:ptab w:relativeTo="margin" w:alignment="right" w:leader="none"/>
    </w:r>
    <w:r w:rsidRPr="00CE0745">
      <w:rPr>
        <w:sz w:val="22"/>
      </w:rPr>
      <w:fldChar w:fldCharType="begin"/>
    </w:r>
    <w:r w:rsidRPr="00CE0745">
      <w:rPr>
        <w:sz w:val="22"/>
      </w:rPr>
      <w:instrText xml:space="preserve"> PAGE   \* MERGEFORMAT </w:instrText>
    </w:r>
    <w:r w:rsidRPr="00CE0745">
      <w:rPr>
        <w:sz w:val="22"/>
      </w:rPr>
      <w:fldChar w:fldCharType="separate"/>
    </w:r>
    <w:r w:rsidRPr="00CE0745">
      <w:rPr>
        <w:sz w:val="22"/>
      </w:rPr>
      <w:t>2</w:t>
    </w:r>
    <w:r w:rsidRPr="00CE0745">
      <w:rPr>
        <w:noProof/>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67132"/>
    <w:multiLevelType w:val="hybridMultilevel"/>
    <w:tmpl w:val="D4740504"/>
    <w:lvl w:ilvl="0" w:tplc="E5CAF8E6">
      <w:start w:val="2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32176B"/>
    <w:multiLevelType w:val="hybridMultilevel"/>
    <w:tmpl w:val="C114A64C"/>
    <w:lvl w:ilvl="0" w:tplc="E5CAF8E6">
      <w:start w:val="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691A92"/>
    <w:multiLevelType w:val="multilevel"/>
    <w:tmpl w:val="2A0A1CF0"/>
    <w:lvl w:ilvl="0">
      <w:start w:val="1"/>
      <w:numFmt w:val="decimal"/>
      <w:pStyle w:val="Heading2"/>
      <w:lvlText w:val="1.%1"/>
      <w:lvlJc w:val="left"/>
      <w:pPr>
        <w:ind w:left="1080" w:hanging="1080"/>
      </w:pPr>
      <w:rPr>
        <w:rFonts w:ascii="Calibri" w:hAnsi="Calibri" w:hint="default"/>
        <w:b/>
        <w:i w:val="0"/>
        <w:sz w:val="32"/>
      </w:rPr>
    </w:lvl>
    <w:lvl w:ilvl="1">
      <w:start w:val="1"/>
      <w:numFmt w:val="decimal"/>
      <w:pStyle w:val="Heading3"/>
      <w:lvlText w:val="1.%1.%2"/>
      <w:lvlJc w:val="left"/>
      <w:pPr>
        <w:ind w:left="1080" w:hanging="1080"/>
      </w:pPr>
      <w:rPr>
        <w:rFonts w:ascii="Calibri" w:hAnsi="Calibri" w:hint="default"/>
        <w:b/>
        <w:i w:val="0"/>
        <w:sz w:val="26"/>
      </w:rPr>
    </w:lvl>
    <w:lvl w:ilvl="2">
      <w:start w:val="1"/>
      <w:numFmt w:val="decimal"/>
      <w:lvlText w:val="1.%1.%2.%3"/>
      <w:lvlJc w:val="left"/>
      <w:pPr>
        <w:ind w:left="1440" w:hanging="1080"/>
      </w:pPr>
      <w:rPr>
        <w:rFonts w:ascii="Calibri" w:hAnsi="Calibri" w:hint="default"/>
        <w:b/>
        <w:i w:val="0"/>
        <w:sz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5284F5E"/>
    <w:multiLevelType w:val="hybridMultilevel"/>
    <w:tmpl w:val="370A0A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6143D14"/>
    <w:multiLevelType w:val="hybridMultilevel"/>
    <w:tmpl w:val="286E84E4"/>
    <w:lvl w:ilvl="0" w:tplc="E5CAF8E6">
      <w:start w:val="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8D60C1"/>
    <w:multiLevelType w:val="hybridMultilevel"/>
    <w:tmpl w:val="36B88826"/>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16cid:durableId="549419022">
    <w:abstractNumId w:val="2"/>
  </w:num>
  <w:num w:numId="2" w16cid:durableId="835654234">
    <w:abstractNumId w:val="4"/>
  </w:num>
  <w:num w:numId="3" w16cid:durableId="209154950">
    <w:abstractNumId w:val="5"/>
  </w:num>
  <w:num w:numId="4" w16cid:durableId="1054475582">
    <w:abstractNumId w:val="3"/>
  </w:num>
  <w:num w:numId="5" w16cid:durableId="811363053">
    <w:abstractNumId w:val="1"/>
  </w:num>
  <w:num w:numId="6" w16cid:durableId="1424640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0Rsz5KJAqZOWZuCIo8ULz5CXGCz6lv2x2f8X1/DO1CEBOwtrL3/hO6MNRfg7AwZXMwZo5vCApmHajdjNaEbiRw==" w:salt="kYdyMAk0qZWqTDnzOIEvtQ=="/>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66C"/>
    <w:rsid w:val="00001054"/>
    <w:rsid w:val="00005D28"/>
    <w:rsid w:val="00012973"/>
    <w:rsid w:val="00037745"/>
    <w:rsid w:val="0005535C"/>
    <w:rsid w:val="000764C4"/>
    <w:rsid w:val="00092398"/>
    <w:rsid w:val="000A7588"/>
    <w:rsid w:val="000B1876"/>
    <w:rsid w:val="000F1BCB"/>
    <w:rsid w:val="0011028F"/>
    <w:rsid w:val="00121519"/>
    <w:rsid w:val="00122177"/>
    <w:rsid w:val="00145181"/>
    <w:rsid w:val="00173D63"/>
    <w:rsid w:val="001806F5"/>
    <w:rsid w:val="001927C7"/>
    <w:rsid w:val="00192E4A"/>
    <w:rsid w:val="001C2286"/>
    <w:rsid w:val="001C2DEE"/>
    <w:rsid w:val="001D1A07"/>
    <w:rsid w:val="001D3C08"/>
    <w:rsid w:val="001E52AD"/>
    <w:rsid w:val="001F2FCE"/>
    <w:rsid w:val="001F5445"/>
    <w:rsid w:val="00202EF6"/>
    <w:rsid w:val="002167CB"/>
    <w:rsid w:val="00224EFD"/>
    <w:rsid w:val="00237067"/>
    <w:rsid w:val="0027043B"/>
    <w:rsid w:val="002735F3"/>
    <w:rsid w:val="00277E2E"/>
    <w:rsid w:val="0028032C"/>
    <w:rsid w:val="002A1182"/>
    <w:rsid w:val="002A2757"/>
    <w:rsid w:val="002A41CC"/>
    <w:rsid w:val="002B7FA4"/>
    <w:rsid w:val="002C2EBD"/>
    <w:rsid w:val="00300E12"/>
    <w:rsid w:val="003213EE"/>
    <w:rsid w:val="00323DFA"/>
    <w:rsid w:val="00324C2D"/>
    <w:rsid w:val="00325A96"/>
    <w:rsid w:val="00334B4E"/>
    <w:rsid w:val="00340CBC"/>
    <w:rsid w:val="00361202"/>
    <w:rsid w:val="00361A63"/>
    <w:rsid w:val="00385604"/>
    <w:rsid w:val="00391C80"/>
    <w:rsid w:val="003936F6"/>
    <w:rsid w:val="003C720E"/>
    <w:rsid w:val="003D7B07"/>
    <w:rsid w:val="003F0290"/>
    <w:rsid w:val="003F15B5"/>
    <w:rsid w:val="003F3EC5"/>
    <w:rsid w:val="004202C6"/>
    <w:rsid w:val="00432386"/>
    <w:rsid w:val="00472E66"/>
    <w:rsid w:val="004A3A68"/>
    <w:rsid w:val="004B65E0"/>
    <w:rsid w:val="004C0205"/>
    <w:rsid w:val="004C0B6D"/>
    <w:rsid w:val="004E57CD"/>
    <w:rsid w:val="004F1331"/>
    <w:rsid w:val="004F47B3"/>
    <w:rsid w:val="004F6255"/>
    <w:rsid w:val="004F7652"/>
    <w:rsid w:val="00506C9C"/>
    <w:rsid w:val="005508E0"/>
    <w:rsid w:val="00555F1C"/>
    <w:rsid w:val="00574DA8"/>
    <w:rsid w:val="0059464F"/>
    <w:rsid w:val="005B4016"/>
    <w:rsid w:val="005C4DEE"/>
    <w:rsid w:val="005D4A87"/>
    <w:rsid w:val="005D5B50"/>
    <w:rsid w:val="005F1F50"/>
    <w:rsid w:val="00606E4D"/>
    <w:rsid w:val="00620EB5"/>
    <w:rsid w:val="006258AB"/>
    <w:rsid w:val="006306A0"/>
    <w:rsid w:val="00670028"/>
    <w:rsid w:val="00687BEB"/>
    <w:rsid w:val="0069696D"/>
    <w:rsid w:val="006B275C"/>
    <w:rsid w:val="006C610D"/>
    <w:rsid w:val="006D0F00"/>
    <w:rsid w:val="006D7C2E"/>
    <w:rsid w:val="006F1624"/>
    <w:rsid w:val="00706100"/>
    <w:rsid w:val="007204DB"/>
    <w:rsid w:val="00731290"/>
    <w:rsid w:val="00735A2D"/>
    <w:rsid w:val="007368F2"/>
    <w:rsid w:val="00750332"/>
    <w:rsid w:val="00751797"/>
    <w:rsid w:val="00757D73"/>
    <w:rsid w:val="0077368E"/>
    <w:rsid w:val="007749BF"/>
    <w:rsid w:val="00781040"/>
    <w:rsid w:val="007912E4"/>
    <w:rsid w:val="007A2D52"/>
    <w:rsid w:val="007B5657"/>
    <w:rsid w:val="007C1092"/>
    <w:rsid w:val="007C7F54"/>
    <w:rsid w:val="007E17A7"/>
    <w:rsid w:val="007F53C0"/>
    <w:rsid w:val="00814164"/>
    <w:rsid w:val="00817E65"/>
    <w:rsid w:val="00823C27"/>
    <w:rsid w:val="00830736"/>
    <w:rsid w:val="00833CCB"/>
    <w:rsid w:val="0084071D"/>
    <w:rsid w:val="00842DE7"/>
    <w:rsid w:val="00856307"/>
    <w:rsid w:val="00857872"/>
    <w:rsid w:val="008A749B"/>
    <w:rsid w:val="008B1E79"/>
    <w:rsid w:val="008E25CC"/>
    <w:rsid w:val="008E3EB3"/>
    <w:rsid w:val="008F75D4"/>
    <w:rsid w:val="009159C6"/>
    <w:rsid w:val="00920F27"/>
    <w:rsid w:val="0094232E"/>
    <w:rsid w:val="009478CE"/>
    <w:rsid w:val="009513EF"/>
    <w:rsid w:val="009515DD"/>
    <w:rsid w:val="009B3EF8"/>
    <w:rsid w:val="009D137A"/>
    <w:rsid w:val="009D1859"/>
    <w:rsid w:val="009D1FC5"/>
    <w:rsid w:val="009E266C"/>
    <w:rsid w:val="009F2BDC"/>
    <w:rsid w:val="00A02502"/>
    <w:rsid w:val="00A13736"/>
    <w:rsid w:val="00A15B22"/>
    <w:rsid w:val="00A16AF1"/>
    <w:rsid w:val="00A33C4D"/>
    <w:rsid w:val="00A35390"/>
    <w:rsid w:val="00A44170"/>
    <w:rsid w:val="00A55C65"/>
    <w:rsid w:val="00A649BC"/>
    <w:rsid w:val="00A66E9C"/>
    <w:rsid w:val="00A67E3E"/>
    <w:rsid w:val="00A84021"/>
    <w:rsid w:val="00AA66B7"/>
    <w:rsid w:val="00AE3630"/>
    <w:rsid w:val="00AE64D9"/>
    <w:rsid w:val="00B35F19"/>
    <w:rsid w:val="00B45ACF"/>
    <w:rsid w:val="00B63A8C"/>
    <w:rsid w:val="00B86858"/>
    <w:rsid w:val="00B87B0C"/>
    <w:rsid w:val="00BA03D1"/>
    <w:rsid w:val="00BA42B6"/>
    <w:rsid w:val="00BB25A0"/>
    <w:rsid w:val="00BB454E"/>
    <w:rsid w:val="00BC1899"/>
    <w:rsid w:val="00BD424C"/>
    <w:rsid w:val="00C0302E"/>
    <w:rsid w:val="00C075F7"/>
    <w:rsid w:val="00C1690C"/>
    <w:rsid w:val="00C2544D"/>
    <w:rsid w:val="00C31B1E"/>
    <w:rsid w:val="00C51FF8"/>
    <w:rsid w:val="00C62668"/>
    <w:rsid w:val="00C649D3"/>
    <w:rsid w:val="00C74477"/>
    <w:rsid w:val="00C90C2A"/>
    <w:rsid w:val="00C91E89"/>
    <w:rsid w:val="00C92716"/>
    <w:rsid w:val="00CC55C0"/>
    <w:rsid w:val="00CD1F43"/>
    <w:rsid w:val="00CE0745"/>
    <w:rsid w:val="00CE2910"/>
    <w:rsid w:val="00CE2D15"/>
    <w:rsid w:val="00D02B39"/>
    <w:rsid w:val="00D03CC8"/>
    <w:rsid w:val="00D271E6"/>
    <w:rsid w:val="00D4145F"/>
    <w:rsid w:val="00D63F2E"/>
    <w:rsid w:val="00D7370E"/>
    <w:rsid w:val="00DA4459"/>
    <w:rsid w:val="00DB5F44"/>
    <w:rsid w:val="00DC7A57"/>
    <w:rsid w:val="00DE3374"/>
    <w:rsid w:val="00DF1022"/>
    <w:rsid w:val="00DF44F7"/>
    <w:rsid w:val="00E120BF"/>
    <w:rsid w:val="00E14DA8"/>
    <w:rsid w:val="00E15092"/>
    <w:rsid w:val="00E228F9"/>
    <w:rsid w:val="00E237DC"/>
    <w:rsid w:val="00E32950"/>
    <w:rsid w:val="00E618E1"/>
    <w:rsid w:val="00E63A69"/>
    <w:rsid w:val="00E91E81"/>
    <w:rsid w:val="00E92FAB"/>
    <w:rsid w:val="00E9482F"/>
    <w:rsid w:val="00EE2F3E"/>
    <w:rsid w:val="00EE3DDD"/>
    <w:rsid w:val="00F056F8"/>
    <w:rsid w:val="00F2053E"/>
    <w:rsid w:val="00F26169"/>
    <w:rsid w:val="00F334B7"/>
    <w:rsid w:val="00F6652C"/>
    <w:rsid w:val="00F83EE7"/>
    <w:rsid w:val="00F900FF"/>
    <w:rsid w:val="00FA1BF5"/>
    <w:rsid w:val="00FA7372"/>
    <w:rsid w:val="00FB137B"/>
    <w:rsid w:val="00FB309D"/>
    <w:rsid w:val="00FC25DC"/>
    <w:rsid w:val="00FC4744"/>
    <w:rsid w:val="00FC5A15"/>
    <w:rsid w:val="00FD2E44"/>
    <w:rsid w:val="00FD5484"/>
    <w:rsid w:val="00FD62A1"/>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10F6A"/>
  <w15:chartTrackingRefBased/>
  <w15:docId w15:val="{30E8F034-DB52-4709-B50D-034BBF702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A2D"/>
    <w:rPr>
      <w:rFonts w:ascii="Calibri" w:hAnsi="Calibri"/>
      <w:sz w:val="26"/>
    </w:rPr>
  </w:style>
  <w:style w:type="paragraph" w:styleId="Heading1">
    <w:name w:val="heading 1"/>
    <w:basedOn w:val="Normal"/>
    <w:next w:val="Normal"/>
    <w:link w:val="Heading1Char"/>
    <w:uiPriority w:val="9"/>
    <w:qFormat/>
    <w:rsid w:val="009E26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ListParagraph"/>
    <w:next w:val="Normal"/>
    <w:link w:val="Heading2Char"/>
    <w:uiPriority w:val="9"/>
    <w:unhideWhenUsed/>
    <w:qFormat/>
    <w:rsid w:val="00731290"/>
    <w:pPr>
      <w:keepNext/>
      <w:numPr>
        <w:numId w:val="1"/>
      </w:numPr>
      <w:spacing w:after="0" w:line="276" w:lineRule="auto"/>
      <w:contextualSpacing w:val="0"/>
      <w:outlineLvl w:val="1"/>
    </w:pPr>
    <w:rPr>
      <w:b/>
      <w:sz w:val="32"/>
      <w:szCs w:val="32"/>
    </w:rPr>
  </w:style>
  <w:style w:type="paragraph" w:styleId="Heading3">
    <w:name w:val="heading 3"/>
    <w:basedOn w:val="ListParagraph"/>
    <w:next w:val="Normal"/>
    <w:link w:val="Heading3Char"/>
    <w:uiPriority w:val="9"/>
    <w:unhideWhenUsed/>
    <w:qFormat/>
    <w:rsid w:val="00731290"/>
    <w:pPr>
      <w:keepNext/>
      <w:numPr>
        <w:ilvl w:val="1"/>
        <w:numId w:val="1"/>
      </w:numPr>
      <w:spacing w:after="180" w:line="276" w:lineRule="auto"/>
      <w:contextualSpacing w:val="0"/>
      <w:outlineLvl w:val="2"/>
    </w:pPr>
    <w:rPr>
      <w:b/>
      <w:szCs w:val="26"/>
    </w:rPr>
  </w:style>
  <w:style w:type="paragraph" w:styleId="Heading4">
    <w:name w:val="heading 4"/>
    <w:basedOn w:val="Normal"/>
    <w:next w:val="Normal"/>
    <w:link w:val="Heading4Char"/>
    <w:uiPriority w:val="9"/>
    <w:unhideWhenUsed/>
    <w:qFormat/>
    <w:rsid w:val="00F900FF"/>
    <w:pPr>
      <w:keepNext/>
      <w:keepLines/>
      <w:spacing w:after="180" w:line="276" w:lineRule="auto"/>
      <w:ind w:left="1080" w:hanging="108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9E26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26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6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6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6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900FF"/>
    <w:rPr>
      <w:rFonts w:ascii="Calibri" w:eastAsiaTheme="majorEastAsia" w:hAnsi="Calibri" w:cstheme="majorBidi"/>
      <w:b/>
      <w:iCs/>
      <w:sz w:val="26"/>
    </w:rPr>
  </w:style>
  <w:style w:type="character" w:customStyle="1" w:styleId="Heading1Char">
    <w:name w:val="Heading 1 Char"/>
    <w:basedOn w:val="DefaultParagraphFont"/>
    <w:link w:val="Heading1"/>
    <w:uiPriority w:val="9"/>
    <w:rsid w:val="009E26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1290"/>
    <w:rPr>
      <w:b/>
      <w:sz w:val="32"/>
      <w:szCs w:val="32"/>
    </w:rPr>
  </w:style>
  <w:style w:type="character" w:customStyle="1" w:styleId="Heading3Char">
    <w:name w:val="Heading 3 Char"/>
    <w:basedOn w:val="DefaultParagraphFont"/>
    <w:link w:val="Heading3"/>
    <w:uiPriority w:val="9"/>
    <w:rsid w:val="00731290"/>
    <w:rPr>
      <w:b/>
      <w:sz w:val="26"/>
      <w:szCs w:val="26"/>
    </w:rPr>
  </w:style>
  <w:style w:type="character" w:customStyle="1" w:styleId="Heading5Char">
    <w:name w:val="Heading 5 Char"/>
    <w:basedOn w:val="DefaultParagraphFont"/>
    <w:link w:val="Heading5"/>
    <w:uiPriority w:val="9"/>
    <w:semiHidden/>
    <w:rsid w:val="009E26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26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6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6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66C"/>
    <w:rPr>
      <w:rFonts w:eastAsiaTheme="majorEastAsia" w:cstheme="majorBidi"/>
      <w:color w:val="272727" w:themeColor="text1" w:themeTint="D8"/>
    </w:rPr>
  </w:style>
  <w:style w:type="paragraph" w:styleId="Title">
    <w:name w:val="Title"/>
    <w:basedOn w:val="Normal"/>
    <w:next w:val="Normal"/>
    <w:link w:val="TitleChar"/>
    <w:uiPriority w:val="10"/>
    <w:qFormat/>
    <w:rsid w:val="009E26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6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6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6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66C"/>
    <w:pPr>
      <w:spacing w:before="160"/>
      <w:jc w:val="center"/>
    </w:pPr>
    <w:rPr>
      <w:i/>
      <w:iCs/>
      <w:color w:val="404040" w:themeColor="text1" w:themeTint="BF"/>
    </w:rPr>
  </w:style>
  <w:style w:type="character" w:customStyle="1" w:styleId="QuoteChar">
    <w:name w:val="Quote Char"/>
    <w:basedOn w:val="DefaultParagraphFont"/>
    <w:link w:val="Quote"/>
    <w:uiPriority w:val="29"/>
    <w:rsid w:val="009E266C"/>
    <w:rPr>
      <w:i/>
      <w:iCs/>
      <w:color w:val="404040" w:themeColor="text1" w:themeTint="BF"/>
    </w:rPr>
  </w:style>
  <w:style w:type="paragraph" w:styleId="ListParagraph">
    <w:name w:val="List Paragraph"/>
    <w:basedOn w:val="Normal"/>
    <w:uiPriority w:val="34"/>
    <w:qFormat/>
    <w:rsid w:val="009E266C"/>
    <w:pPr>
      <w:ind w:left="720"/>
      <w:contextualSpacing/>
    </w:pPr>
  </w:style>
  <w:style w:type="character" w:styleId="IntenseEmphasis">
    <w:name w:val="Intense Emphasis"/>
    <w:basedOn w:val="DefaultParagraphFont"/>
    <w:uiPriority w:val="21"/>
    <w:qFormat/>
    <w:rsid w:val="009E266C"/>
    <w:rPr>
      <w:i/>
      <w:iCs/>
      <w:color w:val="0F4761" w:themeColor="accent1" w:themeShade="BF"/>
    </w:rPr>
  </w:style>
  <w:style w:type="paragraph" w:styleId="IntenseQuote">
    <w:name w:val="Intense Quote"/>
    <w:basedOn w:val="Normal"/>
    <w:next w:val="Normal"/>
    <w:link w:val="IntenseQuoteChar"/>
    <w:uiPriority w:val="30"/>
    <w:qFormat/>
    <w:rsid w:val="009E26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266C"/>
    <w:rPr>
      <w:i/>
      <w:iCs/>
      <w:color w:val="0F4761" w:themeColor="accent1" w:themeShade="BF"/>
    </w:rPr>
  </w:style>
  <w:style w:type="character" w:styleId="IntenseReference">
    <w:name w:val="Intense Reference"/>
    <w:basedOn w:val="DefaultParagraphFont"/>
    <w:uiPriority w:val="32"/>
    <w:qFormat/>
    <w:rsid w:val="009E266C"/>
    <w:rPr>
      <w:b/>
      <w:bCs/>
      <w:smallCaps/>
      <w:color w:val="0F4761" w:themeColor="accent1" w:themeShade="BF"/>
      <w:spacing w:val="5"/>
    </w:rPr>
  </w:style>
  <w:style w:type="paragraph" w:styleId="Header">
    <w:name w:val="header"/>
    <w:basedOn w:val="Normal"/>
    <w:link w:val="HeaderChar"/>
    <w:uiPriority w:val="99"/>
    <w:unhideWhenUsed/>
    <w:rsid w:val="00FC5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15"/>
  </w:style>
  <w:style w:type="paragraph" w:styleId="Footer">
    <w:name w:val="footer"/>
    <w:basedOn w:val="Normal"/>
    <w:link w:val="FooterChar"/>
    <w:uiPriority w:val="99"/>
    <w:unhideWhenUsed/>
    <w:rsid w:val="00FC5A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15"/>
  </w:style>
  <w:style w:type="paragraph" w:styleId="TOC1">
    <w:name w:val="toc 1"/>
    <w:basedOn w:val="Normal"/>
    <w:next w:val="Normal"/>
    <w:autoRedefine/>
    <w:uiPriority w:val="39"/>
    <w:unhideWhenUsed/>
    <w:rsid w:val="005508E0"/>
    <w:pPr>
      <w:spacing w:after="100"/>
    </w:pPr>
  </w:style>
  <w:style w:type="paragraph" w:styleId="TOC2">
    <w:name w:val="toc 2"/>
    <w:basedOn w:val="Normal"/>
    <w:next w:val="Normal"/>
    <w:autoRedefine/>
    <w:uiPriority w:val="39"/>
    <w:unhideWhenUsed/>
    <w:rsid w:val="00B86858"/>
    <w:pPr>
      <w:spacing w:after="100"/>
    </w:pPr>
  </w:style>
  <w:style w:type="character" w:styleId="Hyperlink">
    <w:name w:val="Hyperlink"/>
    <w:basedOn w:val="DefaultParagraphFont"/>
    <w:uiPriority w:val="99"/>
    <w:unhideWhenUsed/>
    <w:rsid w:val="005508E0"/>
    <w:rPr>
      <w:color w:val="467886" w:themeColor="hyperlink"/>
      <w:u w:val="single"/>
    </w:rPr>
  </w:style>
  <w:style w:type="table" w:styleId="TableGrid">
    <w:name w:val="Table Grid"/>
    <w:basedOn w:val="TableNormal"/>
    <w:uiPriority w:val="59"/>
    <w:rsid w:val="00833CC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FD62A1"/>
    <w:rPr>
      <w:vertAlign w:val="superscript"/>
    </w:rPr>
  </w:style>
  <w:style w:type="paragraph" w:styleId="FootnoteText">
    <w:name w:val="footnote text"/>
    <w:basedOn w:val="Normal"/>
    <w:link w:val="FootnoteTextChar"/>
    <w:uiPriority w:val="99"/>
    <w:semiHidden/>
    <w:unhideWhenUsed/>
    <w:rsid w:val="00005D28"/>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005D28"/>
    <w:rPr>
      <w:kern w:val="0"/>
      <w:sz w:val="20"/>
      <w:szCs w:val="20"/>
      <w14:ligatures w14:val="none"/>
    </w:rPr>
  </w:style>
  <w:style w:type="paragraph" w:customStyle="1" w:styleId="NormalIndented">
    <w:name w:val="Normal Indented"/>
    <w:basedOn w:val="Normal"/>
    <w:link w:val="NormalIndentedChar"/>
    <w:qFormat/>
    <w:rsid w:val="000F1BCB"/>
    <w:pPr>
      <w:spacing w:after="180" w:line="276" w:lineRule="auto"/>
      <w:ind w:left="360"/>
    </w:pPr>
    <w:rPr>
      <w:rFonts w:cs="Calibri"/>
    </w:rPr>
  </w:style>
  <w:style w:type="character" w:customStyle="1" w:styleId="NormalIndentedChar">
    <w:name w:val="Normal Indented Char"/>
    <w:basedOn w:val="DefaultParagraphFont"/>
    <w:link w:val="NormalIndented"/>
    <w:rsid w:val="000F1BCB"/>
    <w:rPr>
      <w:rFonts w:ascii="Calibri" w:hAnsi="Calibri" w:cs="Calibri"/>
      <w:sz w:val="26"/>
    </w:rPr>
  </w:style>
  <w:style w:type="character" w:styleId="FollowedHyperlink">
    <w:name w:val="FollowedHyperlink"/>
    <w:basedOn w:val="DefaultParagraphFont"/>
    <w:uiPriority w:val="99"/>
    <w:semiHidden/>
    <w:unhideWhenUsed/>
    <w:rsid w:val="00CC55C0"/>
    <w:rPr>
      <w:color w:val="96607D" w:themeColor="followedHyperlink"/>
      <w:u w:val="single"/>
    </w:rPr>
  </w:style>
  <w:style w:type="character" w:styleId="UnresolvedMention">
    <w:name w:val="Unresolved Mention"/>
    <w:basedOn w:val="DefaultParagraphFont"/>
    <w:uiPriority w:val="99"/>
    <w:semiHidden/>
    <w:unhideWhenUsed/>
    <w:rsid w:val="00DC7A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hs.gov/sites/default/files/post-adjudication-actions-09-25-2025.pdf" TargetMode="External"/><Relationship Id="rId18" Type="http://schemas.openxmlformats.org/officeDocument/2006/relationships/hyperlink" Target="https://www.ecfr.gov/cgi-bin/text-idx?SID=e6f4e43ef59ac589896925300d8111f0&amp;mc=true&amp;node=se42.4.478_140&amp;rgn=div8" TargetMode="External"/><Relationship Id="rId26" Type="http://schemas.openxmlformats.org/officeDocument/2006/relationships/customXml" Target="../customXml/item5.xml"/><Relationship Id="rId3" Type="http://schemas.openxmlformats.org/officeDocument/2006/relationships/customXml" Target="../customXml/item3.xml"/><Relationship Id="rId21" Type="http://schemas.openxmlformats.org/officeDocument/2006/relationships/hyperlink" Target="https://list.nih.gov/cgi-bin/wa.exe?SUBED1=OMHAAPPELLANTS&amp;A=1" TargetMode="External"/><Relationship Id="rId7" Type="http://schemas.openxmlformats.org/officeDocument/2006/relationships/settings" Target="settings.xml"/><Relationship Id="rId12" Type="http://schemas.openxmlformats.org/officeDocument/2006/relationships/hyperlink" Target="https://www.hhs.gov/sites/default/files/post-adjudication-actions-09-25-2025.pdf" TargetMode="External"/><Relationship Id="rId17" Type="http://schemas.openxmlformats.org/officeDocument/2006/relationships/hyperlink" Target="https://www.ecfr.gov/cgi-bin/text-idx?SID=20b04ec594621d6c6a79bc905dc6080a&amp;mc=true&amp;node=se42.3.423_1562&amp;rgn=div8"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cfr.gov/cgi-bin/retrieveECFR?gp=&amp;SID=9e5dce76295cc1354c2821876b2d27cd&amp;mc=true&amp;n=pt42.3.417&amp;r=PART&amp;ty=HTML" TargetMode="External"/><Relationship Id="rId20" Type="http://schemas.openxmlformats.org/officeDocument/2006/relationships/hyperlink" Target="https://www.ecfr.gov/cgi-bin/text-idx?SID=f9e308ed36375c255c900f2006be6b6b&amp;mc=true&amp;node=se20.2.418_12350&amp;rgn=div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gi-bin/text-idx?SID=99322b1fecfd10a3cc8de31a6237cc9d&amp;mc=true&amp;node=se42.2.405_11052&amp;rgn=div8"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cfr.gov/cgi-bin/text-idx?SID=9e5dce76295cc1354c2821876b2d27cd&amp;mc=true&amp;node=se42.3.417_1600&amp;rgn=div8"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ecfr.gov/cgi-bin/text-idx?SID=f9e308ed36375c255c900f2006be6b6b&amp;mc=true&amp;node=se20.2.418_11350&amp;rgn=div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gi-bin/text-idx?SID=371aec8910c896b97717d18e2108ae09&amp;mc=true&amp;node=se42.3.422_1562&amp;rgn=div8" TargetMode="External"/><Relationship Id="rId22" Type="http://schemas.openxmlformats.org/officeDocument/2006/relationships/hyperlink" Target="https://www.hhs.gov/about/agencies/omha/the-appeals-process/case-processing-manual/index.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cfr.gov/cgi-bin/text-idx?SID=11ab2e48349cc12d667987574be86abe&amp;mc=true&amp;node=se42.3.422_1608&amp;rgn=div8" TargetMode="External"/><Relationship Id="rId13" Type="http://schemas.openxmlformats.org/officeDocument/2006/relationships/hyperlink" Target="https://www.ecfr.gov/cgi-bin/text-idx?SID=11ab2e48349cc12d667987574be86abe&amp;mc=true&amp;node=se42.3.423_11980&amp;rgn=div8" TargetMode="External"/><Relationship Id="rId18" Type="http://schemas.openxmlformats.org/officeDocument/2006/relationships/hyperlink" Target="https://www.ecfr.gov/cgi-bin/text-idx?SID=11ab2e48349cc12d667987574be86abe&amp;mc=true&amp;node=se42.4.478_144&amp;rgn=div8" TargetMode="External"/><Relationship Id="rId3" Type="http://schemas.openxmlformats.org/officeDocument/2006/relationships/hyperlink" Target="https://www.ecfr.gov/cgi-bin/text-idx?SID=11ab2e48349cc12d667987574be86abe&amp;mc=true&amp;node=se42.3.423_12056&amp;rgn=div8" TargetMode="External"/><Relationship Id="rId21" Type="http://schemas.openxmlformats.org/officeDocument/2006/relationships/hyperlink" Target="https://www.ecfr.gov/cgi-bin/text-idx?SID=11ab2e48349cc12d667987574be86abe&amp;mc=true&amp;node=se42.3.422_1578&amp;rgn=div8" TargetMode="External"/><Relationship Id="rId7" Type="http://schemas.openxmlformats.org/officeDocument/2006/relationships/hyperlink" Target="https://www.ecfr.gov/cgi-bin/text-idx?SID=11ab2e48349cc12d667987574be86abe&amp;mc=true&amp;node=se42.3.422_1602&amp;rgn=div8" TargetMode="External"/><Relationship Id="rId12" Type="http://schemas.openxmlformats.org/officeDocument/2006/relationships/hyperlink" Target="https://www.ecfr.gov/cgi-bin/text-idx?SID=11ab2e48349cc12d667987574be86abe&amp;mc=true&amp;node=se42.3.423_1560&amp;rgn=div8" TargetMode="External"/><Relationship Id="rId17" Type="http://schemas.openxmlformats.org/officeDocument/2006/relationships/hyperlink" Target="https://www.ecfr.gov/cgi-bin/text-idx?SID=11ab2e48349cc12d667987574be86abe&amp;mc=true&amp;node=se42.3.423_12140&amp;rgn=div8" TargetMode="External"/><Relationship Id="rId2" Type="http://schemas.openxmlformats.org/officeDocument/2006/relationships/hyperlink" Target="https://www.ecfr.gov/cgi-bin/text-idx?SID=8df4e239884696bd8005af77e50594ae&amp;mc=true&amp;node=se42.2.405_11056&amp;rgn=div8" TargetMode="External"/><Relationship Id="rId16" Type="http://schemas.openxmlformats.org/officeDocument/2006/relationships/hyperlink" Target="https://www.ecfr.gov/cgi-bin/text-idx?SID=11ab2e48349cc12d667987574be86abe&amp;mc=true&amp;node=se42.3.423_12134&amp;rgn=div8" TargetMode="External"/><Relationship Id="rId20" Type="http://schemas.openxmlformats.org/officeDocument/2006/relationships/hyperlink" Target="https://www.ecfr.gov/cgi-bin/text-idx?SID=11ab2e48349cc12d667987574be86abe&amp;mc=true&amp;node=se42.4.478_148&amp;rgn=div8" TargetMode="External"/><Relationship Id="rId1" Type="http://schemas.openxmlformats.org/officeDocument/2006/relationships/hyperlink" Target="https://www.ecfr.gov/cgi-bin/text-idx?SID=9b18379ceef85d1dafeca63f2415681e&amp;mc=true&amp;node=se42.2.405_11006&amp;rgn=div8" TargetMode="External"/><Relationship Id="rId6" Type="http://schemas.openxmlformats.org/officeDocument/2006/relationships/hyperlink" Target="https://www.ecfr.gov/cgi-bin/text-idx?SID=11ab2e48349cc12d667987574be86abe&amp;mc=true&amp;node=se42.3.422_1600&amp;rgn=div8" TargetMode="External"/><Relationship Id="rId11" Type="http://schemas.openxmlformats.org/officeDocument/2006/relationships/hyperlink" Target="https://www.ecfr.gov/cgi-bin/text-idx?SID=11ab2e48349cc12d667987574be86abe&amp;mc=true&amp;node=se42.3.417_1840&amp;rgn=div8" TargetMode="External"/><Relationship Id="rId5" Type="http://schemas.openxmlformats.org/officeDocument/2006/relationships/hyperlink" Target="https://www.ecfr.gov/cgi-bin/text-idx?SID=11ab2e48349cc12d667987574be86abe&amp;mc=true&amp;node=se42.3.422_1561&amp;rgn=div8" TargetMode="External"/><Relationship Id="rId15" Type="http://schemas.openxmlformats.org/officeDocument/2006/relationships/hyperlink" Target="https://www.ecfr.gov/cgi-bin/text-idx?SID=11ab2e48349cc12d667987574be86abe&amp;mc=true&amp;node=se42.3.423_12102&amp;rgn=div8" TargetMode="External"/><Relationship Id="rId10" Type="http://schemas.openxmlformats.org/officeDocument/2006/relationships/hyperlink" Target="https://www.ecfr.gov/cgi-bin/text-idx?SID=11ab2e48349cc12d667987574be86abe&amp;mc=true&amp;node=se42.3.422_1616&amp;rgn=div8" TargetMode="External"/><Relationship Id="rId19" Type="http://schemas.openxmlformats.org/officeDocument/2006/relationships/hyperlink" Target="https://www.ecfr.gov/cgi-bin/text-idx?SID=11ab2e48349cc12d667987574be86abe&amp;mc=true&amp;node=se42.4.478_146&amp;rgn=div8" TargetMode="External"/><Relationship Id="rId4" Type="http://schemas.openxmlformats.org/officeDocument/2006/relationships/hyperlink" Target="https://www.ecfr.gov/cgi-bin/text-idx?SID=11ab2e48349cc12d667987574be86abe&amp;mc=true&amp;node=se42.3.422_1560&amp;rgn=div8" TargetMode="External"/><Relationship Id="rId9" Type="http://schemas.openxmlformats.org/officeDocument/2006/relationships/hyperlink" Target="https://www.ecfr.gov/cgi-bin/text-idx?SID=11ab2e48349cc12d667987574be86abe&amp;mc=true&amp;node=se42.3.422_1612&amp;rgn=div8" TargetMode="External"/><Relationship Id="rId14" Type="http://schemas.openxmlformats.org/officeDocument/2006/relationships/hyperlink" Target="https://www.ecfr.gov/cgi-bin/text-idx?SID=11ab2e48349cc12d667987574be86abe&amp;mc=true&amp;node=se42.3.423_12014&amp;rgn=div8" TargetMode="External"/><Relationship Id="rId22" Type="http://schemas.openxmlformats.org/officeDocument/2006/relationships/hyperlink" Target="https://www.ecfr.gov/cgi-bin/text-idx?SID=11ab2e48349cc12d667987574be86abe&amp;mc=true&amp;node=se42.3.422_1590&amp;rgn=div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135ae01-e587-4388-9e90-223ea2dce586">XHCFNTUKDSFP-1148338203-50</_dlc_DocId>
    <_dlc_DocIdUrl xmlns="7135ae01-e587-4388-9e90-223ea2dce586">
      <Url>https://hhsgov.sharepoint.com/sites/OMHA_APOD_/_layouts/15/DocIdRedir.aspx?ID=XHCFNTUKDSFP-1148338203-50</Url>
      <Description>XHCFNTUKDSFP-1148338203-50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06C873943BD64F8EADB726A5B0A7A1" ma:contentTypeVersion="3" ma:contentTypeDescription="Create a new document." ma:contentTypeScope="" ma:versionID="f2b485416e9ea496d605b8f8e329a027">
  <xsd:schema xmlns:xsd="http://www.w3.org/2001/XMLSchema" xmlns:xs="http://www.w3.org/2001/XMLSchema" xmlns:p="http://schemas.microsoft.com/office/2006/metadata/properties" xmlns:ns2="7135ae01-e587-4388-9e90-223ea2dce586" xmlns:ns3="543fb25c-1a33-4f07-be7f-8531d4ea5d27" targetNamespace="http://schemas.microsoft.com/office/2006/metadata/properties" ma:root="true" ma:fieldsID="920b56e367d3e898dd7f1318c871622f" ns2:_="" ns3:_="">
    <xsd:import namespace="7135ae01-e587-4388-9e90-223ea2dce586"/>
    <xsd:import namespace="543fb25c-1a33-4f07-be7f-8531d4ea5d2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35ae01-e587-4388-9e90-223ea2dce5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43fb25c-1a33-4f07-be7f-8531d4ea5d2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05DA226-7681-49BE-8CD4-DEAC8D05BBDA}">
  <ds:schemaRefs>
    <ds:schemaRef ds:uri="http://schemas.microsoft.com/office/2006/metadata/properties"/>
    <ds:schemaRef ds:uri="http://schemas.microsoft.com/office/infopath/2007/PartnerControls"/>
    <ds:schemaRef ds:uri="6e0c3700-0a96-427f-ad74-1c261372d040"/>
    <ds:schemaRef ds:uri="1b79075b-ae78-4e19-83b6-8b77291216f9"/>
  </ds:schemaRefs>
</ds:datastoreItem>
</file>

<file path=customXml/itemProps2.xml><?xml version="1.0" encoding="utf-8"?>
<ds:datastoreItem xmlns:ds="http://schemas.openxmlformats.org/officeDocument/2006/customXml" ds:itemID="{CAF9FF4C-C070-4266-9BFA-BAEB314E92F0}"/>
</file>

<file path=customXml/itemProps3.xml><?xml version="1.0" encoding="utf-8"?>
<ds:datastoreItem xmlns:ds="http://schemas.openxmlformats.org/officeDocument/2006/customXml" ds:itemID="{C9C4DE21-1054-431B-9C3E-3CB58A44C097}">
  <ds:schemaRefs>
    <ds:schemaRef ds:uri="http://schemas.openxmlformats.org/officeDocument/2006/bibliography"/>
  </ds:schemaRefs>
</ds:datastoreItem>
</file>

<file path=customXml/itemProps4.xml><?xml version="1.0" encoding="utf-8"?>
<ds:datastoreItem xmlns:ds="http://schemas.openxmlformats.org/officeDocument/2006/customXml" ds:itemID="{36B2A8E3-6191-4E57-ABF4-6A0734AF5FEF}">
  <ds:schemaRefs>
    <ds:schemaRef ds:uri="http://schemas.microsoft.com/sharepoint/v3/contenttype/forms"/>
  </ds:schemaRefs>
</ds:datastoreItem>
</file>

<file path=customXml/itemProps5.xml><?xml version="1.0" encoding="utf-8"?>
<ds:datastoreItem xmlns:ds="http://schemas.openxmlformats.org/officeDocument/2006/customXml" ds:itemID="{018D8541-AC6A-4EFD-BEF8-4AE6C8E4A9EA}"/>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210</TotalTime>
  <Pages>10</Pages>
  <Words>2337</Words>
  <Characters>12858</Characters>
  <Application>Microsoft Office Word</Application>
  <DocSecurity>8</DocSecurity>
  <Lines>273</Lines>
  <Paragraphs>176</Paragraphs>
  <ScaleCrop>false</ScaleCrop>
  <HeadingPairs>
    <vt:vector size="2" baseType="variant">
      <vt:variant>
        <vt:lpstr>Title</vt:lpstr>
      </vt:variant>
      <vt:variant>
        <vt:i4>1</vt:i4>
      </vt:variant>
    </vt:vector>
  </HeadingPairs>
  <TitlesOfParts>
    <vt:vector size="1" baseType="lpstr">
      <vt:lpstr>OCPM Template (Title needs to be manually added once a chapter is completed)</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OCPM Chapter 1: Manual Overview, Definition, and Guidance</dc:title>
  <dc:subject/>
  <dc:creator>Christopher Pilch (OMHA)</dc:creator>
  <cp:keywords/>
  <dc:description/>
  <cp:lastModifiedBy>Christopher Pilch (OMHA)</cp:lastModifiedBy>
  <cp:revision>119</cp:revision>
  <dcterms:created xsi:type="dcterms:W3CDTF">2026-08-12T20:10:00Z</dcterms:created>
  <dcterms:modified xsi:type="dcterms:W3CDTF">2026-09-14T16:29:00Z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0x010100AB06C873943BD64F8EADB726A5B0A7A1</vt:lpwstr>
  </property>
  <property fmtid="{D5CDD505-2E9C-101B-9397-08002B2CF9AE}" pid="3" name="_dlc_DocIdItemGuid">
    <vt:lpwstr>7dec452a-dc6a-41a4-8164-3571c326dba0</vt:lpwstr>
  </property>
</Properties>
</file>