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0950" w14:textId="14681AEC" w:rsidR="000A6E0A" w:rsidRPr="00DB7E58" w:rsidRDefault="0082560E" w:rsidP="00DB7E58">
      <w:pPr>
        <w:pStyle w:val="Heading1"/>
      </w:pPr>
      <w:proofErr w:type="spellStart"/>
      <w:r w:rsidRPr="00DB7E58">
        <w:t>Pagpapatibay</w:t>
      </w:r>
      <w:proofErr w:type="spellEnd"/>
      <w:r w:rsidRPr="00DB7E58">
        <w:t xml:space="preserve"> ng </w:t>
      </w:r>
      <w:proofErr w:type="spellStart"/>
      <w:r w:rsidRPr="00DB7E58">
        <w:t>mga</w:t>
      </w:r>
      <w:proofErr w:type="spellEnd"/>
      <w:r w:rsidRPr="00DB7E58">
        <w:t xml:space="preserve"> </w:t>
      </w:r>
      <w:proofErr w:type="spellStart"/>
      <w:r w:rsidRPr="00DB7E58">
        <w:t>Proteksyon</w:t>
      </w:r>
      <w:proofErr w:type="spellEnd"/>
      <w:r w:rsidRPr="00DB7E58">
        <w:t xml:space="preserve"> para </w:t>
      </w:r>
      <w:proofErr w:type="spellStart"/>
      <w:r w:rsidRPr="00DB7E58">
        <w:t>Maiwaksi</w:t>
      </w:r>
      <w:proofErr w:type="spellEnd"/>
      <w:r w:rsidRPr="00DB7E58">
        <w:t xml:space="preserve"> ang </w:t>
      </w:r>
      <w:proofErr w:type="spellStart"/>
      <w:r w:rsidRPr="00DB7E58">
        <w:t>Diskriminasyon</w:t>
      </w:r>
      <w:proofErr w:type="spellEnd"/>
      <w:r w:rsidRPr="00DB7E58">
        <w:t xml:space="preserve"> at </w:t>
      </w:r>
      <w:proofErr w:type="spellStart"/>
      <w:r w:rsidRPr="00DB7E58">
        <w:t>Pagsusulong</w:t>
      </w:r>
      <w:proofErr w:type="spellEnd"/>
      <w:r w:rsidRPr="00DB7E58">
        <w:t xml:space="preserve"> ng </w:t>
      </w:r>
      <w:proofErr w:type="spellStart"/>
      <w:r w:rsidRPr="00DB7E58">
        <w:t>mga</w:t>
      </w:r>
      <w:proofErr w:type="spellEnd"/>
      <w:r w:rsidRPr="00DB7E58">
        <w:t xml:space="preserve"> </w:t>
      </w:r>
      <w:proofErr w:type="spellStart"/>
      <w:r w:rsidRPr="00DB7E58">
        <w:t>Karapatang</w:t>
      </w:r>
      <w:proofErr w:type="spellEnd"/>
      <w:r w:rsidRPr="00DB7E58">
        <w:t xml:space="preserve"> </w:t>
      </w:r>
      <w:proofErr w:type="spellStart"/>
      <w:r w:rsidRPr="00DB7E58">
        <w:t>Sibil</w:t>
      </w:r>
      <w:proofErr w:type="spellEnd"/>
      <w:r w:rsidRPr="00DB7E58">
        <w:t xml:space="preserve"> </w:t>
      </w:r>
      <w:proofErr w:type="spellStart"/>
      <w:r w:rsidRPr="00DB7E58">
        <w:t>sa</w:t>
      </w:r>
      <w:proofErr w:type="spellEnd"/>
      <w:r w:rsidRPr="00DB7E58">
        <w:t xml:space="preserve"> </w:t>
      </w:r>
      <w:proofErr w:type="spellStart"/>
      <w:r w:rsidRPr="00DB7E58">
        <w:t>Pangangalagang</w:t>
      </w:r>
      <w:proofErr w:type="spellEnd"/>
      <w:r w:rsidRPr="00DB7E58">
        <w:t xml:space="preserve"> </w:t>
      </w:r>
      <w:proofErr w:type="spellStart"/>
      <w:r w:rsidRPr="00DB7E58">
        <w:t>Pangkalusugan</w:t>
      </w:r>
      <w:proofErr w:type="spellEnd"/>
      <w:r w:rsidRPr="00DB7E58">
        <w:t xml:space="preserve"> </w:t>
      </w:r>
      <w:proofErr w:type="spellStart"/>
      <w:r w:rsidRPr="00DB7E58">
        <w:t>sa</w:t>
      </w:r>
      <w:proofErr w:type="spellEnd"/>
      <w:r w:rsidRPr="00DB7E58">
        <w:t xml:space="preserve"> </w:t>
      </w:r>
      <w:proofErr w:type="spellStart"/>
      <w:r w:rsidRPr="00DB7E58">
        <w:t>pamamagitan</w:t>
      </w:r>
      <w:proofErr w:type="spellEnd"/>
      <w:r w:rsidRPr="00DB7E58">
        <w:t xml:space="preserve"> ng </w:t>
      </w:r>
      <w:proofErr w:type="spellStart"/>
      <w:r w:rsidRPr="00DB7E58">
        <w:t>Seksyon</w:t>
      </w:r>
      <w:proofErr w:type="spellEnd"/>
      <w:r w:rsidRPr="00DB7E58">
        <w:t xml:space="preserve"> 1557 ng Affordable Care Act: </w:t>
      </w:r>
      <w:proofErr w:type="spellStart"/>
      <w:r w:rsidRPr="00DB7E58">
        <w:t>Dokumento</w:t>
      </w:r>
      <w:proofErr w:type="spellEnd"/>
      <w:r w:rsidRPr="00DB7E58">
        <w:t xml:space="preserve"> ng </w:t>
      </w:r>
      <w:proofErr w:type="spellStart"/>
      <w:r w:rsidRPr="00DB7E58">
        <w:t>Impormasyon</w:t>
      </w:r>
      <w:proofErr w:type="spellEnd"/>
    </w:p>
    <w:p w14:paraId="5E8F3120" w14:textId="06874942" w:rsidR="00E34AFF" w:rsidRDefault="0082560E" w:rsidP="00A1353F">
      <w:pPr>
        <w:spacing w:after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sumusunod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nagbibigay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nakabuod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impormasyon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anumang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independiyenteng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interpretasyon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Seksyon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1557;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ginagabayan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mambabasa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mismo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kumpletong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pagbigkas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72B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nilalaman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3313A8E" w14:textId="1F266E5B" w:rsidR="000A6E0A" w:rsidRDefault="0082560E" w:rsidP="005327A7">
      <w:pPr>
        <w:spacing w:after="68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Ang Department of Health and Human Services (HHS)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naglabas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upang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maisulong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pagkakapantay-pantay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mabawasan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pagkakaiba-iba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pangangalagang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Ipinagbabawal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Seksyon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1557 ng Affordable Care Act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(ACA)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lahi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bansang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pinagmulan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anumang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tumatanggap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nakabatay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Estado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Palitan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segurong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HHS, at isa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pinakamabisang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kasangkapan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pamahalaan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upang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matiyak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-access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pangangalagang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nagbibigay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paglilinaw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1557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pagtitiyak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walang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-access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pangangalaga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lahat,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kabilang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kababaihan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LGBTQI+,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limitadong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kasanayan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Ingles (limited English proficiency, LEP),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anuman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Kung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naniniwala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nadiskrimina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ka o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ibang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partido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lahi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bansang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pinagmulan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pakibisita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portal ng 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reklamo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ng Office for Civil Rights (OCR)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upang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maghain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online.</w:t>
      </w:r>
    </w:p>
    <w:p w14:paraId="61E4C388" w14:textId="08DCA808" w:rsidR="000A6E0A" w:rsidRPr="00DB7E58" w:rsidRDefault="0082560E" w:rsidP="00DB7E58">
      <w:pPr>
        <w:pStyle w:val="Heading2"/>
      </w:pPr>
      <w:proofErr w:type="spellStart"/>
      <w:r w:rsidRPr="00DB7E58">
        <w:t>Buod</w:t>
      </w:r>
      <w:proofErr w:type="spellEnd"/>
      <w:r w:rsidRPr="00DB7E58">
        <w:t xml:space="preserve"> ng Pinal </w:t>
      </w:r>
      <w:proofErr w:type="spellStart"/>
      <w:r w:rsidRPr="00DB7E58">
        <w:t>na</w:t>
      </w:r>
      <w:proofErr w:type="spellEnd"/>
      <w:r w:rsidRPr="00DB7E58">
        <w:t xml:space="preserve"> </w:t>
      </w:r>
      <w:proofErr w:type="spellStart"/>
      <w:r w:rsidRPr="00DB7E58">
        <w:t>Panuntunan</w:t>
      </w:r>
      <w:proofErr w:type="spellEnd"/>
    </w:p>
    <w:p w14:paraId="7F23E45D" w14:textId="35101B52" w:rsidR="000A6E0A" w:rsidRPr="00DB7E58" w:rsidRDefault="0082560E" w:rsidP="00DB7E58">
      <w:pPr>
        <w:pStyle w:val="Heading3"/>
      </w:pPr>
      <w:proofErr w:type="spellStart"/>
      <w:r w:rsidRPr="00DB7E58">
        <w:t>Ibinabalik</w:t>
      </w:r>
      <w:proofErr w:type="spellEnd"/>
      <w:r w:rsidRPr="00DB7E58">
        <w:t xml:space="preserve"> ang </w:t>
      </w:r>
      <w:proofErr w:type="spellStart"/>
      <w:r w:rsidRPr="00DB7E58">
        <w:t>mga</w:t>
      </w:r>
      <w:proofErr w:type="spellEnd"/>
      <w:r w:rsidRPr="00DB7E58">
        <w:t xml:space="preserve"> </w:t>
      </w:r>
      <w:proofErr w:type="spellStart"/>
      <w:r w:rsidRPr="00DB7E58">
        <w:t>tagapagbigay</w:t>
      </w:r>
      <w:proofErr w:type="spellEnd"/>
      <w:r w:rsidRPr="00DB7E58">
        <w:t xml:space="preserve"> ng health insurance </w:t>
      </w:r>
      <w:proofErr w:type="spellStart"/>
      <w:r w:rsidRPr="00DB7E58">
        <w:t>sa</w:t>
      </w:r>
      <w:proofErr w:type="spellEnd"/>
      <w:r w:rsidRPr="00DB7E58">
        <w:t xml:space="preserve"> </w:t>
      </w:r>
      <w:proofErr w:type="spellStart"/>
      <w:r w:rsidRPr="00DB7E58">
        <w:t>ilalim</w:t>
      </w:r>
      <w:proofErr w:type="spellEnd"/>
      <w:r w:rsidRPr="00DB7E58">
        <w:t xml:space="preserve"> ng </w:t>
      </w:r>
      <w:proofErr w:type="spellStart"/>
      <w:r w:rsidRPr="00DB7E58">
        <w:t>saklaw</w:t>
      </w:r>
      <w:proofErr w:type="spellEnd"/>
      <w:r w:rsidRPr="00DB7E58">
        <w:t xml:space="preserve"> ng </w:t>
      </w:r>
      <w:proofErr w:type="spellStart"/>
      <w:r w:rsidRPr="00DB7E58">
        <w:t>Seksyon</w:t>
      </w:r>
      <w:proofErr w:type="spellEnd"/>
      <w:r w:rsidRPr="00DB7E58">
        <w:t xml:space="preserve"> 1557 (45 CFR 92.2, 92.4, at 92.207).</w:t>
      </w:r>
    </w:p>
    <w:p w14:paraId="6AB633B4" w14:textId="0DF4D056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Ibinabalik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pinalalakas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aplikasyon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1557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tagapagbigay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health insurance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tumatanggap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Sa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pagkilala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mahalagang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papel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ginagampanan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health insurance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pangangalagang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nagbibigay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malinaw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pamantayan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industriya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71C15BE4" w14:textId="0DF4D056" w:rsidR="000A6E0A" w:rsidRDefault="0082560E" w:rsidP="00DB7E58">
      <w:pPr>
        <w:pStyle w:val="Heading3"/>
      </w:pPr>
      <w:proofErr w:type="spellStart"/>
      <w:r>
        <w:t>Ibinabalik</w:t>
      </w:r>
      <w:proofErr w:type="spellEnd"/>
      <w:r>
        <w:t xml:space="preserve"> ang </w:t>
      </w:r>
      <w:proofErr w:type="spellStart"/>
      <w:r>
        <w:t>aplikasyon</w:t>
      </w:r>
      <w:proofErr w:type="spellEnd"/>
      <w:r>
        <w:t xml:space="preserve"> ng </w:t>
      </w:r>
      <w:proofErr w:type="spellStart"/>
      <w:r>
        <w:t>Seksyon</w:t>
      </w:r>
      <w:proofErr w:type="spellEnd"/>
      <w:r>
        <w:t xml:space="preserve"> 1557 </w:t>
      </w:r>
      <w:proofErr w:type="spellStart"/>
      <w:r>
        <w:t>sa</w:t>
      </w:r>
      <w:proofErr w:type="spellEnd"/>
      <w:r>
        <w:t xml:space="preserve"> </w:t>
      </w:r>
      <w:r>
        <w:rPr>
          <w:i/>
          <w:iCs/>
        </w:rPr>
        <w:t>lahat</w:t>
      </w:r>
      <w:r>
        <w:t xml:space="preserve"> ng </w:t>
      </w:r>
      <w:proofErr w:type="spellStart"/>
      <w:r>
        <w:t>programa</w:t>
      </w:r>
      <w:proofErr w:type="spellEnd"/>
      <w:r>
        <w:t xml:space="preserve"> at </w:t>
      </w:r>
      <w:proofErr w:type="spellStart"/>
      <w:r>
        <w:t>aktibidad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kalusugan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pinangangasiwaan</w:t>
      </w:r>
      <w:proofErr w:type="spellEnd"/>
      <w:r>
        <w:t xml:space="preserve"> ng HHS (45 CFR 92.2(a)(2)).</w:t>
      </w:r>
    </w:p>
    <w:p w14:paraId="21A05546" w14:textId="0DF4D056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Inilalapat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pamantayan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lahat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HHS.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Nilimitahan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2020 (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85 Fed. Reg. 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lastRenderedPageBreak/>
          <w:t>37160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Hunyo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19, 2020))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saklaw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kinakailangan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1557.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Naniniwala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pagbibigay-kahulugan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1557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saklawin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lahat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HHS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pinakamahusay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pagbasa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nagpoprotekta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mas maraming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laban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malawak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hanay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kabilang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ngunit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limitado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Indian Health Service, Centers for Medicare &amp; Medicaid Services, at National Institutes of Health.</w:t>
      </w:r>
    </w:p>
    <w:p w14:paraId="367E7AAB" w14:textId="4E274233" w:rsidR="000A6E0A" w:rsidRDefault="0082560E" w:rsidP="00DB7E58">
      <w:pPr>
        <w:pStyle w:val="Heading3"/>
        <w:rPr>
          <w:color w:val="1B1B1B"/>
        </w:rPr>
      </w:pPr>
      <w:proofErr w:type="spellStart"/>
      <w:r>
        <w:t>Pinoprotektahan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pasyenteng</w:t>
      </w:r>
      <w:proofErr w:type="spellEnd"/>
      <w:r>
        <w:t xml:space="preserve"> LGBTQI+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diskriminasyon</w:t>
      </w:r>
      <w:proofErr w:type="spellEnd"/>
      <w:r>
        <w:t xml:space="preserve"> at </w:t>
      </w:r>
      <w:proofErr w:type="spellStart"/>
      <w:r>
        <w:t>nililinaw</w:t>
      </w:r>
      <w:proofErr w:type="spellEnd"/>
      <w:r>
        <w:t xml:space="preserve"> ang </w:t>
      </w:r>
      <w:proofErr w:type="spellStart"/>
      <w:r>
        <w:t>pagbabawal</w:t>
      </w:r>
      <w:proofErr w:type="spellEnd"/>
      <w:r>
        <w:t xml:space="preserve"> ng 1557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diskriminasyon</w:t>
      </w:r>
      <w:proofErr w:type="spellEnd"/>
      <w:r>
        <w:t xml:space="preserve"> ng </w:t>
      </w:r>
      <w:proofErr w:type="spellStart"/>
      <w:r>
        <w:t>kasarian</w:t>
      </w:r>
      <w:proofErr w:type="spellEnd"/>
      <w:r>
        <w:t xml:space="preserve"> (45 CFR 92.101, 92.206)</w:t>
      </w:r>
      <w:r>
        <w:rPr>
          <w:color w:val="1B1B1B"/>
        </w:rPr>
        <w:t>.</w:t>
      </w:r>
    </w:p>
    <w:p w14:paraId="5370C656" w14:textId="0DF4D056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Alinsunod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posisyon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Korte Suprema ng U.S.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</w:rPr>
          <w:t>Bostock v. Clayton County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– PDF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pinagtitibay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proteksyon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laban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kinabibilangan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proteksyon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laban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oryentasyong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sekswal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pagkakakilanlang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pangkasarian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5988E9A6" w14:textId="0DF4D056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Nililinaw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din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kinabibilangan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stereotype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katangiang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pangkasarian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kabilang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katangiang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intersex;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pagbubuntis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kaugnay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kondisyon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457AEBF3" w14:textId="0DF4D056" w:rsidR="000A6E0A" w:rsidRDefault="0082560E" w:rsidP="00DB7E58">
      <w:pPr>
        <w:pStyle w:val="Heading3"/>
      </w:pPr>
      <w:proofErr w:type="spellStart"/>
      <w:r>
        <w:t>Inaatasan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nasasaklaw</w:t>
      </w:r>
      <w:proofErr w:type="spellEnd"/>
      <w:r>
        <w:t xml:space="preserve"> ng </w:t>
      </w:r>
      <w:proofErr w:type="spellStart"/>
      <w:r>
        <w:t>panuntunan</w:t>
      </w:r>
      <w:proofErr w:type="spellEnd"/>
      <w:r>
        <w:t xml:space="preserve">, </w:t>
      </w:r>
      <w:proofErr w:type="spellStart"/>
      <w:r>
        <w:t>kabilang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tagapagbigay</w:t>
      </w:r>
      <w:proofErr w:type="spellEnd"/>
      <w:r>
        <w:t xml:space="preserve"> ng </w:t>
      </w:r>
      <w:proofErr w:type="spellStart"/>
      <w:r>
        <w:t>serbisyo</w:t>
      </w:r>
      <w:proofErr w:type="spellEnd"/>
      <w:r>
        <w:t xml:space="preserve">, </w:t>
      </w:r>
      <w:proofErr w:type="spellStart"/>
      <w:r>
        <w:t>tagapagbigay</w:t>
      </w:r>
      <w:proofErr w:type="spellEnd"/>
      <w:r>
        <w:t xml:space="preserve"> ng insurance, at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programang</w:t>
      </w:r>
      <w:proofErr w:type="spellEnd"/>
      <w:r>
        <w:t xml:space="preserve"> </w:t>
      </w:r>
      <w:proofErr w:type="spellStart"/>
      <w:r>
        <w:t>pinangangasiwaan</w:t>
      </w:r>
      <w:proofErr w:type="spellEnd"/>
      <w:r>
        <w:t xml:space="preserve"> ng HHS,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ipaalam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tulong</w:t>
      </w:r>
      <w:proofErr w:type="spellEnd"/>
      <w:r>
        <w:t xml:space="preserve"> 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(45 CFR 92.11).</w:t>
      </w:r>
    </w:p>
    <w:p w14:paraId="4052CAAD" w14:textId="6EE5A780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Inaatasan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tumatanggap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HHS,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Palitan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Estado at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ipaalam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magagamit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serbisyong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wika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auxiliary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kung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kinakailangan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abiso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Ingles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bababa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pinakakaraniwang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wika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sinasalita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limitadong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kasanayan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Ingles (LEP)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Estadong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pinaglilingkuran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Upang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matiyak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epektibong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komunikasyon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abiso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ipaalam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indibidwal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kasing-epektibo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indibidwal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saklaw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entidad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inaatasang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abisong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kilalang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lokasyon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kapwa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pisikal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lokasyon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kanilang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website,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gawin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available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kapag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hiniling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isama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isang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partikular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listahan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komunikasyon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04A5602F" w14:textId="7B57D308" w:rsidR="000A6E0A" w:rsidRDefault="0082560E" w:rsidP="00DB7E58">
      <w:pPr>
        <w:pStyle w:val="Heading3"/>
        <w:rPr>
          <w:color w:val="000000" w:themeColor="text1"/>
        </w:rPr>
      </w:pPr>
      <w:proofErr w:type="spellStart"/>
      <w:r>
        <w:t>Inaatasan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nasasaklaw</w:t>
      </w:r>
      <w:proofErr w:type="spellEnd"/>
      <w:r>
        <w:t xml:space="preserve"> ng </w:t>
      </w:r>
      <w:proofErr w:type="spellStart"/>
      <w:r>
        <w:t>panuntunan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gumawa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hakbang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matukoy</w:t>
      </w:r>
      <w:proofErr w:type="spellEnd"/>
      <w:r>
        <w:t xml:space="preserve"> at </w:t>
      </w:r>
      <w:proofErr w:type="spellStart"/>
      <w:r>
        <w:t>mapigilan</w:t>
      </w:r>
      <w:proofErr w:type="spellEnd"/>
      <w:r>
        <w:t xml:space="preserve"> ang </w:t>
      </w:r>
      <w:proofErr w:type="spellStart"/>
      <w:r>
        <w:t>diskriminasyon</w:t>
      </w:r>
      <w:proofErr w:type="spellEnd"/>
      <w:r>
        <w:t xml:space="preserve"> </w:t>
      </w:r>
      <w:proofErr w:type="spellStart"/>
      <w:r>
        <w:t>kapag</w:t>
      </w:r>
      <w:proofErr w:type="spellEnd"/>
      <w:r>
        <w:t xml:space="preserve"> </w:t>
      </w:r>
      <w:proofErr w:type="spellStart"/>
      <w:r>
        <w:t>gumagamit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kasangkapan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pagsuporta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pagpapasya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pangangalaga</w:t>
      </w:r>
      <w:proofErr w:type="spellEnd"/>
      <w:r>
        <w:t xml:space="preserve"> ng </w:t>
      </w:r>
      <w:proofErr w:type="spellStart"/>
      <w:r>
        <w:t>pasyente</w:t>
      </w:r>
      <w:proofErr w:type="spellEnd"/>
      <w:r>
        <w:t xml:space="preserve"> (45 CFR 92.210).</w:t>
      </w:r>
    </w:p>
    <w:p w14:paraId="28D8D22C" w14:textId="7464E986" w:rsidR="000A6E0A" w:rsidRPr="00A1353F" w:rsidRDefault="0082560E" w:rsidP="00A1353F">
      <w:pPr>
        <w:spacing w:after="600" w:line="257" w:lineRule="auto"/>
        <w:ind w:left="-14" w:right="-1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Isinasaad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tatanggap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HHS,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Estado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magdiskrimina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sinumang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indibidwal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bansang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pinagmulan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pamamagitan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paggamit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kasangkapan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sumusuporta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pagpapasya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pangangalaga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pasyente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kinabibilangan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awtomatiko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awtomatikong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kasangkapan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mekanismo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pamamaraan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teknolohiya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pagbibigay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pangangalaga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pasyente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probisyong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paggamit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kasangkapan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Binabalanse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tungkulin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teknolohiya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pagbabawas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pagkakaiba-iba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pagpapataas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access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pangangalaga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pangangailangan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responsableng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paggamit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kasangkapang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hahantong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pangangalaga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pasyente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Inaatasan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nasasaklaw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tukuyin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kasangkapang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pansuporta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pagdedesisyon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pangangalaga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pasyente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gumagamit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input variable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dahilan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sumusukat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bansang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pinagmulan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gumawa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makatwirang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pagsisikap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mabawasan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maaaring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magresulta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paggamit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kasangkapan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7A44A6" w14:textId="7347CBB8" w:rsidR="000A6E0A" w:rsidRDefault="0082560E" w:rsidP="00DB7E58">
      <w:pPr>
        <w:pStyle w:val="Heading3"/>
      </w:pPr>
      <w:proofErr w:type="spellStart"/>
      <w:r>
        <w:t>Inaatasan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sakop</w:t>
      </w:r>
      <w:proofErr w:type="spellEnd"/>
      <w:r>
        <w:t xml:space="preserve"> ng </w:t>
      </w:r>
      <w:proofErr w:type="spellStart"/>
      <w:r>
        <w:t>panuntunan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ipatupad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patakaran</w:t>
      </w:r>
      <w:proofErr w:type="spellEnd"/>
      <w:r>
        <w:t xml:space="preserve"> at </w:t>
      </w:r>
      <w:proofErr w:type="spellStart"/>
      <w:r>
        <w:t>pagsasanay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kawani</w:t>
      </w:r>
      <w:proofErr w:type="spellEnd"/>
      <w:r>
        <w:t xml:space="preserve"> ng </w:t>
      </w:r>
      <w:proofErr w:type="spellStart"/>
      <w:r>
        <w:t>Seksyon</w:t>
      </w:r>
      <w:proofErr w:type="spellEnd"/>
      <w:r>
        <w:t xml:space="preserve"> 1557 (45 CFR 92.8-92.9).</w:t>
      </w:r>
    </w:p>
    <w:p w14:paraId="41DCD64A" w14:textId="0DF4D056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Inaatasan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tatanggap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HHS,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Palitan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Estado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ipatupad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patakaran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pamamaraan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upang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matiyak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pagsunod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Sa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partikular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sakop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entidad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patakaran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serbisyong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wika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LEP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tiyakin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epektibong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komunikasyon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makatwirang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pagbabago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Kinakailangan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din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sakop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entidad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sanayin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kanilang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tauhan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patakaran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pamamaraang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kinakailangang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makakatulong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pagpapabuti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pagsunod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27EF052C" w14:textId="399DD60D" w:rsidR="000A6E0A" w:rsidRDefault="0082560E" w:rsidP="00DB7E58">
      <w:pPr>
        <w:pStyle w:val="Heading3"/>
      </w:pPr>
      <w:proofErr w:type="spellStart"/>
      <w:r>
        <w:t>Nililinaw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nalalapat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kahingian</w:t>
      </w:r>
      <w:proofErr w:type="spellEnd"/>
      <w:r>
        <w:t xml:space="preserve"> ng </w:t>
      </w:r>
      <w:proofErr w:type="spellStart"/>
      <w:r>
        <w:t>kawalan</w:t>
      </w:r>
      <w:proofErr w:type="spellEnd"/>
      <w:r>
        <w:t xml:space="preserve"> ng </w:t>
      </w:r>
      <w:proofErr w:type="spellStart"/>
      <w:r>
        <w:t>diskriminasyon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at </w:t>
      </w:r>
      <w:proofErr w:type="spellStart"/>
      <w:r>
        <w:t>aktibidad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kalusugan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ibinibigay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pamamagitan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telehealth (45 CFR 92.211).</w:t>
      </w:r>
    </w:p>
    <w:p w14:paraId="1267CD64" w14:textId="772970EF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partikular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tumutugon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serbisyong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telehealth.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Nililinaw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probisyong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tumatanggap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pinangangasiwaan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HHS,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Marketplace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Pinapangasiwaan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Estado at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magdiskrimina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kanilang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paghahatid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aktibidad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kalusugan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ibinibigay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pamamagitan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serbisyong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telehealth.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Nangangahulugan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pagtitiyak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-access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naturang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serbisyo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indibidwal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nagbibigay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makabuluhang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access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may LEP.</w:t>
      </w:r>
    </w:p>
    <w:p w14:paraId="241F83B5" w14:textId="77777777" w:rsidR="001E49D8" w:rsidRDefault="0082560E" w:rsidP="00DB7E58">
      <w:pPr>
        <w:pStyle w:val="Heading3"/>
      </w:pPr>
      <w:proofErr w:type="spellStart"/>
      <w:r>
        <w:t>Iginagalang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federal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garantiya</w:t>
      </w:r>
      <w:proofErr w:type="spellEnd"/>
      <w:r>
        <w:t xml:space="preserve"> </w:t>
      </w:r>
      <w:proofErr w:type="spellStart"/>
      <w:r>
        <w:t>kaugnay</w:t>
      </w:r>
      <w:proofErr w:type="spellEnd"/>
      <w:r>
        <w:t xml:space="preserve"> ng </w:t>
      </w:r>
      <w:proofErr w:type="spellStart"/>
      <w:r>
        <w:t>kalayaan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relihiyon</w:t>
      </w:r>
      <w:proofErr w:type="spellEnd"/>
      <w:r>
        <w:t xml:space="preserve"> at </w:t>
      </w:r>
      <w:proofErr w:type="spellStart"/>
      <w:r>
        <w:t>konsensya</w:t>
      </w:r>
      <w:proofErr w:type="spellEnd"/>
      <w:r>
        <w:t xml:space="preserve"> (45 CFR 92.3 at 92.302).</w:t>
      </w:r>
    </w:p>
    <w:p w14:paraId="4056DF77" w14:textId="0D593BBD" w:rsidR="001E49D8" w:rsidRPr="001E49D8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Isinasaad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walang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paggamit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tuntunin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kakailanganin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kung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lalabag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proteksyon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federal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kalayaan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relihiyon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konsensya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Sa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ilalim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panuntunang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isang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tumatanggap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maaaring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umasa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lamang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proteksyong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humingi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katiyakan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kanila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HHS OCR.</w:t>
      </w:r>
    </w:p>
    <w:p w14:paraId="61BD93CE" w14:textId="0BDE7438" w:rsidR="000A6E0A" w:rsidRDefault="0082560E" w:rsidP="00DB7E58">
      <w:pPr>
        <w:pStyle w:val="Heading3"/>
      </w:pPr>
      <w:proofErr w:type="spellStart"/>
      <w:r>
        <w:lastRenderedPageBreak/>
        <w:t>Abiso</w:t>
      </w:r>
      <w:proofErr w:type="spellEnd"/>
      <w:r>
        <w:t xml:space="preserve"> </w:t>
      </w:r>
      <w:proofErr w:type="spellStart"/>
      <w:r>
        <w:t>Tungkol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Bahagi</w:t>
      </w:r>
      <w:proofErr w:type="spellEnd"/>
      <w:r>
        <w:t xml:space="preserve"> B ng Medicare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Pederal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pinansyal</w:t>
      </w:r>
      <w:proofErr w:type="spellEnd"/>
      <w:r>
        <w:t>.</w:t>
      </w:r>
    </w:p>
    <w:p w14:paraId="39EEAE30" w14:textId="0DF4D056" w:rsidR="000A6E0A" w:rsidRDefault="0082560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Nagbibigay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paggawa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tuntuning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abiso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interpretasyon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pagbabayad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Medicare Part B ay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binubuo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layunin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pagkakasaklaw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ilalim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Federal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karapatang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sibil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ipinapatupad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Kabilang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dito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hyperlink r:id="rId14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Pamagat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VI ng Civil Rights Act ng 1964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hyperlink r:id="rId15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Seksyon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504 ng Rehabilitation Act ng 1973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hyperlink r:id="rId16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Pamagat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IX ng Education Amendments ng 1972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ang </w:t>
      </w:r>
      <w:hyperlink r:id="rId1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Age Discrimination Act ng 1975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Seksyon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1557 ng ACA.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Nakakatugon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pondo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Medicare Part B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kahulugan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pinansyal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ilalim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tinukoy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regulasyon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itaas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Naniniwala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nakaraang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pagbibigay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katwiran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pagbubukod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Medicare Part B ay luma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dahil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pagbabago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ng Medicare, at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pagbabago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patakaran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pinakamahusay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pagbasa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karapatang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sibil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dahil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layunin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pagpapatakbo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Medicare Part B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2C078E63" w14:textId="48E8807A" w:rsidR="000A6E0A" w:rsidRPr="000E739A" w:rsidRDefault="0082560E" w:rsidP="000E739A">
      <w:pPr>
        <w:spacing w:after="3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 Pinal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Panuntunan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maaaring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-download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8" w:history="1">
        <w:r w:rsidR="00A60A91">
          <w:rPr>
            <w:rStyle w:val="Hyperlink"/>
          </w:rPr>
          <w:t>hhs.gov/1557</w:t>
        </w:r>
      </w:hyperlink>
    </w:p>
    <w:sectPr w:rsidR="000A6E0A" w:rsidRPr="000E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DC7F" w14:textId="77777777" w:rsidR="00BC1D7F" w:rsidRDefault="00BC1D7F" w:rsidP="00231A65">
      <w:pPr>
        <w:spacing w:after="0" w:line="240" w:lineRule="auto"/>
      </w:pPr>
      <w:r>
        <w:separator/>
      </w:r>
    </w:p>
  </w:endnote>
  <w:endnote w:type="continuationSeparator" w:id="0">
    <w:p w14:paraId="2ED5D112" w14:textId="77777777" w:rsidR="00BC1D7F" w:rsidRDefault="00BC1D7F" w:rsidP="0023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B586" w14:textId="77777777" w:rsidR="00BC1D7F" w:rsidRDefault="00BC1D7F" w:rsidP="00231A65">
      <w:pPr>
        <w:spacing w:after="0" w:line="240" w:lineRule="auto"/>
      </w:pPr>
      <w:r>
        <w:separator/>
      </w:r>
    </w:p>
  </w:footnote>
  <w:footnote w:type="continuationSeparator" w:id="0">
    <w:p w14:paraId="13DB0A66" w14:textId="77777777" w:rsidR="00BC1D7F" w:rsidRDefault="00BC1D7F" w:rsidP="00231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A2DDBA"/>
    <w:rsid w:val="0005264F"/>
    <w:rsid w:val="000A6E0A"/>
    <w:rsid w:val="000E739A"/>
    <w:rsid w:val="00150E6A"/>
    <w:rsid w:val="001E49D8"/>
    <w:rsid w:val="00231A65"/>
    <w:rsid w:val="002400BC"/>
    <w:rsid w:val="003649A0"/>
    <w:rsid w:val="00372BE2"/>
    <w:rsid w:val="003E5870"/>
    <w:rsid w:val="005327A7"/>
    <w:rsid w:val="00554B9D"/>
    <w:rsid w:val="0082560E"/>
    <w:rsid w:val="008764A8"/>
    <w:rsid w:val="00A1353F"/>
    <w:rsid w:val="00A60A91"/>
    <w:rsid w:val="00A75894"/>
    <w:rsid w:val="00BC1D7F"/>
    <w:rsid w:val="00D24A41"/>
    <w:rsid w:val="00D67D1C"/>
    <w:rsid w:val="00DB7E58"/>
    <w:rsid w:val="00E34AFF"/>
    <w:rsid w:val="00F950AE"/>
    <w:rsid w:val="0F7B94CA"/>
    <w:rsid w:val="28A2DDBA"/>
    <w:rsid w:val="790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2DDBA"/>
  <w15:chartTrackingRefBased/>
  <w15:docId w15:val="{72304579-9FC1-4B04-940F-A326F2FB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58"/>
    <w:pPr>
      <w:keepNext/>
      <w:keepLines/>
      <w:spacing w:before="240" w:after="300" w:line="257" w:lineRule="auto"/>
      <w:ind w:left="-14" w:right="-14"/>
      <w:outlineLvl w:val="0"/>
    </w:pPr>
    <w:rPr>
      <w:rFonts w:ascii="Times New Roman" w:eastAsia="Times New Roman" w:hAnsi="Times New Roman" w:cs="Times New Roman"/>
      <w:b/>
      <w:bCs/>
      <w:color w:val="1B1B1B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E58"/>
    <w:pPr>
      <w:keepNext/>
      <w:keepLines/>
      <w:spacing w:before="40" w:after="520" w:line="257" w:lineRule="auto"/>
      <w:ind w:left="-14" w:right="-14"/>
      <w:outlineLvl w:val="1"/>
    </w:pPr>
    <w:rPr>
      <w:rFonts w:ascii="Times New Roman" w:eastAsia="Times New Roman" w:hAnsi="Times New Roman" w:cs="Times New Roman"/>
      <w:b/>
      <w:bCs/>
      <w:color w:val="1B1B1B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E58"/>
    <w:pPr>
      <w:spacing w:after="200" w:line="257" w:lineRule="auto"/>
      <w:ind w:left="-20" w:right="-2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58"/>
    <w:rPr>
      <w:rFonts w:ascii="Times New Roman" w:eastAsia="Times New Roman" w:hAnsi="Times New Roman" w:cs="Times New Roman"/>
      <w:b/>
      <w:bCs/>
      <w:color w:val="1B1B1B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7E58"/>
    <w:rPr>
      <w:rFonts w:ascii="Times New Roman" w:eastAsia="Times New Roman" w:hAnsi="Times New Roman" w:cs="Times New Roman"/>
      <w:b/>
      <w:bCs/>
      <w:color w:val="1B1B1B"/>
      <w:sz w:val="24"/>
      <w:szCs w:val="24"/>
    </w:rPr>
  </w:style>
  <w:style w:type="paragraph" w:styleId="Revision">
    <w:name w:val="Revision"/>
    <w:hidden/>
    <w:uiPriority w:val="99"/>
    <w:semiHidden/>
    <w:rsid w:val="00D24A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65"/>
  </w:style>
  <w:style w:type="paragraph" w:styleId="Footer">
    <w:name w:val="footer"/>
    <w:basedOn w:val="Normal"/>
    <w:link w:val="FooterChar"/>
    <w:uiPriority w:val="99"/>
    <w:unhideWhenUsed/>
    <w:rsid w:val="0023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65"/>
  </w:style>
  <w:style w:type="character" w:customStyle="1" w:styleId="Heading3Char">
    <w:name w:val="Heading 3 Char"/>
    <w:basedOn w:val="DefaultParagraphFont"/>
    <w:link w:val="Heading3"/>
    <w:uiPriority w:val="9"/>
    <w:rsid w:val="00DB7E58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premecourt.gov/opinions/19pdf/17-1618_hfci.pdf" TargetMode="External"/><Relationship Id="rId18" Type="http://schemas.openxmlformats.org/officeDocument/2006/relationships/hyperlink" Target="https://gcc02.safelinks.protection.outlook.com/?url=https%3A%2F%2Fwww.hhs.gov%2Fcivil-rights%2Ffor-individuals%2Fsection-1557%2Findex.html&amp;data=05%7C02%7CKate.Sweeney%40hhs.gov%7Cde677175a67c4bf03b6a08dc655fc0a9%7Cd58addea50534a808499ba4d944910df%7C0%7C0%7C638496709134090269%7CUnknown%7CTWFpbGZsb3d8eyJWIjoiMC4wLjAwMDAiLCJQIjoiV2luMzIiLCJBTiI6Ik1haWwiLCJXVCI6Mn0%3D%7C0%7C%7C%7C&amp;sdata=vRkCj5cv4QI0H0uIPtwbKZNCDNxaPle9sj%2B5pEETkHk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ederalregister.gov/documents/2020/06/19/2020-11758/nondiscrimination-in-health-and-health-education-programs-or-activities-delegation-of-authority" TargetMode="External"/><Relationship Id="rId17" Type="http://schemas.openxmlformats.org/officeDocument/2006/relationships/hyperlink" Target="https://uscode.house.gov/view.xhtml?path=/prelim@title42/chapter76&amp;edition=preli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code.house.gov/view.xhtml?path=/prelim@title20/chapter38&amp;edition=preli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crportal.hhs.gov/ocr/smartscreen/main.js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code.house.gov/view.xhtml?req=granuleid:USC-prelim-title29-section794&amp;num=0&amp;edition=prelim" TargetMode="External"/><Relationship Id="rId10" Type="http://schemas.openxmlformats.org/officeDocument/2006/relationships/hyperlink" Target="https://uscode.house.gov/view.xhtml?req=(title:42%20section:18116%20edition:prelim)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code.house.gov/view.xhtml?path=/prelim@title42/chapter21/subchapter5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9" ma:contentTypeDescription="Create a new document." ma:contentTypeScope="" ma:versionID="65ec5334cccb9df55b93ff12f4153d26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593658056bfbe1c86c7aeba8e3d73c40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Notes" minOccurs="0"/>
                <xsd:element ref="ns2:Finalversio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inalversion" ma:index="22" nillable="true" ma:displayName="Final version" ma:default="1" ma:format="Dropdown" ma:internalName="Finalversion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280586-07de-4c8e-830b-710be8a7978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version xmlns="3c1caa5a-c780-48ca-a6c9-b482f661779f">true</Finalversion>
    <Notes xmlns="3c1caa5a-c780-48ca-a6c9-b482f661779f" xsi:nil="true"/>
    <TaxCatchAll xmlns="8e93af26-c2f7-4713-98b4-0ec2b43fceef" xsi:nil="true"/>
    <Date xmlns="3c1caa5a-c780-48ca-a6c9-b482f661779f" xsi:nil="true"/>
    <lcf76f155ced4ddcb4097134ff3c332f xmlns="3c1caa5a-c780-48ca-a6c9-b482f661779f">
      <Terms xmlns="http://schemas.microsoft.com/office/infopath/2007/PartnerControls"/>
    </lcf76f155ced4ddcb4097134ff3c332f>
    <SharedWithUsers xmlns="8e93af26-c2f7-4713-98b4-0ec2b43fceef">
      <UserInfo>
        <DisplayName>Babecki, Marie-Genevieve (HHS/OCR) (CTR)</DisplayName>
        <AccountId>142</AccountId>
        <AccountType/>
      </UserInfo>
      <UserInfo>
        <DisplayName>Ma, Jenny (HHS/OCR)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BC9F68-9465-49EA-950A-1B56EAE4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84173-D9F3-424A-B833-D92F96F01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D6B5D-B797-448C-B951-67E480F6C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EA4EF1-FE7A-4892-A5AF-681109693A05}">
  <ds:schemaRefs>
    <ds:schemaRef ds:uri="http://schemas.microsoft.com/office/2006/metadata/properties"/>
    <ds:schemaRef ds:uri="http://schemas.microsoft.com/office/infopath/2007/PartnerControls"/>
    <ds:schemaRef ds:uri="3c1caa5a-c780-48ca-a6c9-b482f661779f"/>
    <ds:schemaRef ds:uri="8e93af26-c2f7-4713-98b4-0ec2b43fc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 Section 1557 Fact Sheet_Tagalog</vt:lpstr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Section 1557 Fact Sheet_Tagalog</dc:title>
  <dc:creator>HHS/OCR</dc:creator>
  <cp:lastModifiedBy>Sweeney, Kate (OS/OCIO/OES)</cp:lastModifiedBy>
  <cp:revision>3</cp:revision>
  <dcterms:created xsi:type="dcterms:W3CDTF">2024-04-25T14:01:00Z</dcterms:created>
  <dcterms:modified xsi:type="dcterms:W3CDTF">2024-04-25T21:04:00Z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