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0950" w14:textId="5B0EAB96" w:rsidR="000A6E0A" w:rsidRPr="00A72057" w:rsidRDefault="00000000" w:rsidP="00A72057">
      <w:pPr>
        <w:pStyle w:val="Heading1"/>
      </w:pPr>
      <w:r w:rsidRPr="00A72057">
        <w:t>Обеспечение защиты лиц путем усиления борьбы с дискриминацией и отстаивания гражданских прав в сфере здравоохранения согласно требованиям раздела 1557 Закона о доступном медицинском обслуживании: информационный бюллетень</w:t>
      </w:r>
    </w:p>
    <w:p w14:paraId="5E8F3120" w14:textId="200C4477" w:rsidR="00E34AFF" w:rsidRPr="00A72057" w:rsidRDefault="00000000" w:rsidP="006100A9">
      <w:pPr>
        <w:spacing w:after="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Ниже представлена сводная информация, которая не является самостоятельным толкованием раздела 1557. Чтобы ознакомиться с полным изложением содержания раздела, следует обращаться к окончательной норме.</w:t>
      </w:r>
    </w:p>
    <w:p w14:paraId="13313A8E" w14:textId="4D3DA6B8" w:rsidR="000A6E0A" w:rsidRPr="00A72057" w:rsidRDefault="00000000" w:rsidP="006100A9">
      <w:pPr>
        <w:spacing w:after="56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Министерство здравоохранения и социального обеспечения (HHS) издало окончательную норму по обеспечению равенства в вопросах здравоохранения и уменьшению неравенства в области здравоохранения.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Раздел 1557 Закона о доступном медицинском обслуживании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 (ACA) запрещает дискриминацию по признаку расовой принадлежности, цвета кожи, национального происхождения, пола, возраста или инвалидности в любых программах или мероприятиях в области здравоохранения, которые получают финансирование за счет средств федерального бюджета США, биржи медицинского страхования штатов, а также в программах и мероприятиях в области здравоохранения, которые получают финансирование от или регламентируются HHS, и является одним из самых мощных инструментов правительства для обеспечения свободного доступа к медицинской помощи. Эта норма разъясняет раздел 1557 и поможет обеспечить свободный доступ к медицинской помощи для всех людей, включая женщин, людей с инвалидностью, представителей ЛГБТКИ+, людей с ограниченным знанием английского языка (LEP), представителей меньшинств и людей всех возрастных категорий. Если вы считаете, что вы или кто-то другой подверглись дискриминации по признаку расовой принадлежности, цвета кожи, национального происхождения, пола, возраста или инвалидности, вы можете подать жалобу о дискриминации на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портале для подачи жалоб Управления по гражданским правам (OCR)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.</w:t>
      </w:r>
    </w:p>
    <w:p w14:paraId="61E4C388" w14:textId="718ADC91" w:rsidR="000A6E0A" w:rsidRPr="00A72057" w:rsidRDefault="00000000" w:rsidP="00A72057">
      <w:pPr>
        <w:pStyle w:val="Heading2"/>
      </w:pPr>
      <w:r w:rsidRPr="00A72057">
        <w:t>Краткий обзор окончательной нормы</w:t>
      </w:r>
    </w:p>
    <w:p w14:paraId="7F23E45D" w14:textId="0DF4D056" w:rsidR="000A6E0A" w:rsidRPr="00A72057" w:rsidRDefault="00000000" w:rsidP="00A72057">
      <w:pPr>
        <w:pStyle w:val="Heading3"/>
      </w:pPr>
      <w:r w:rsidRPr="00A72057">
        <w:t>Возвращает страховые медицинские организации к страховому покрытию в соответствии с разделом 1557 (параграфы 92.2, 92.4 и 92.207 главы 45 Свода федеральных нормативных правил США).</w:t>
      </w:r>
    </w:p>
    <w:p w14:paraId="6AB633B4" w14:textId="0DF4D056" w:rsidR="000A6E0A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Окончательная норма восстанавливает и усиливает применение раздела 1557 к страховым медицинским организациям, которые получают федеральное финансирование. Признавая важную роль медицинского страхования в оказании медицинской помощи, норма устанавливает четкие стандарты по недопущению дискриминации для отрасли.</w:t>
      </w:r>
    </w:p>
    <w:p w14:paraId="71C15BE4" w14:textId="32809917" w:rsidR="000A6E0A" w:rsidRDefault="00000000" w:rsidP="00A72057">
      <w:pPr>
        <w:pStyle w:val="Heading3"/>
      </w:pPr>
      <w:r>
        <w:lastRenderedPageBreak/>
        <w:t xml:space="preserve">Восстанавливает применение раздела 1557 ко </w:t>
      </w:r>
      <w:r>
        <w:rPr>
          <w:i/>
          <w:iCs/>
        </w:rPr>
        <w:t>всем</w:t>
      </w:r>
      <w:r>
        <w:t xml:space="preserve"> программам и мероприятиям здравоохранения, которые регламентирует HHS (параграф 92.2(a)(2) главы 45 Свода федеральных нормативных правил США).</w:t>
      </w:r>
    </w:p>
    <w:p w14:paraId="21A05546" w14:textId="0DF4D056" w:rsidR="000A6E0A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Эта норма предусматривает обязательное применение стандартов по недопущению дискриминации ко всем программам и мероприятиям HHS в области здравоохранения. Норма 2020 года (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том 85 Федерального регистра США, страница 37 160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 (19 июня 2020 г.)) ограничивала сферу применения требований раздела 1557 о недопущении дискриминации. Министерство считает, что толкование раздела 1557 как охватывающего все программы и мероприятия в области здравоохранения, регламентированные HHS, является наиболее правильной трактовкой закона, обеспечивающей защиту от дискриминации большего количества людей в самых разных программах и мероприятиях здравоохранения Министерства, включая, помимо прочего, программы, регламентируемые Управлением медицинского обслуживания индейцев, Центр обслуживания программ медицинской помощи престарелым, инвалидам, неимущим и малоимущим Medicare и Medicaid и Национальными институтами здравоохранения США.</w:t>
      </w:r>
    </w:p>
    <w:p w14:paraId="367E7AAB" w14:textId="4E274233" w:rsidR="000A6E0A" w:rsidRDefault="00000000" w:rsidP="00A72057">
      <w:pPr>
        <w:pStyle w:val="Heading3"/>
        <w:rPr>
          <w:color w:val="1B1B1B"/>
        </w:rPr>
      </w:pPr>
      <w:r>
        <w:t>Защищает пациентов ЛГБТКИ+ от дискриминации и разъясняет предусмотренный в разделе 1557 запрет на дискриминацию по признаку половой принадлежности (параграф 92.101, 92.206 главы 45 Свода федеральных нормативных правил США)</w:t>
      </w:r>
      <w:r>
        <w:rPr>
          <w:color w:val="1B1B1B"/>
        </w:rPr>
        <w:t>.</w:t>
      </w:r>
    </w:p>
    <w:p w14:paraId="5370C656" w14:textId="0DF4D056" w:rsidR="000A6E0A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В соответствии с решением Верховного суда США по делу </w:t>
      </w:r>
      <w:hyperlink r:id="rId11">
        <w:r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val="ru-RU"/>
          </w:rPr>
          <w:t>Босток против округа Клейтон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 xml:space="preserve"> – PDF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, окончательная норма подтверждает, что защита от дискриминации по половому признаку включает защиту от дискриминации по признаку сексуальной ориентации и гендерной идентичности.</w:t>
      </w:r>
    </w:p>
    <w:p w14:paraId="5988E9A6" w14:textId="0DF4D056" w:rsidR="000A6E0A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В окончательной норме также разъясняется, что дискриминация по признаку пола включает и дискриминацию по гендерным стереотипам, половым признакам, включая признаки интерсексуальности, а также беременности или связанным с ней состояниям.</w:t>
      </w:r>
    </w:p>
    <w:p w14:paraId="457AEBF3" w14:textId="0A7DC327" w:rsidR="000A6E0A" w:rsidRDefault="00000000" w:rsidP="00A72057">
      <w:pPr>
        <w:pStyle w:val="Heading3"/>
      </w:pPr>
      <w:r>
        <w:t>Требует, чтобы лица, на которых распространяется действие этой нормы, включая поставщиков услуг, страховщиков и программы HHS, информировали людей о возможности предоставления языковой помощи и услуг (параграф 92.11 главы 45 Свода федеральных нормативных правил США).</w:t>
      </w:r>
    </w:p>
    <w:p w14:paraId="4052CAAD" w14:textId="15B460B3" w:rsidR="000A6E0A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Окончательная норма требует, чтобы получающие федеральное финансирование программы и мероприятия в области здравоохранения, регламентируемые HHS, а также биржи, функционирующие на уровне штатов и на федеральном уровне, информировали людей о том, что в случае необходимости им будет предоставлена помощь переводчика и дополнительная поддержка. Уведомление должно быть предоставлено на английском языке и как минимум на 15 основных языках, на которых говорят люди с ограниченным знанием английского языка (LEP) в соответствующем штате. Для обеспечения эффективной коммуникации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акие уведомления должны быть доведены до сведения лиц с инвалидностью так же эффективно, как и до остальных лиц.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Организации, на которые распространяется действие этой нормы, обязаны размещать эти уведомления как в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lastRenderedPageBreak/>
        <w:t>распечатанной форме на видном месте, так и на своих веб-сайтах, предоставлять их по запросу и включать их в список специальных сообщений.</w:t>
      </w:r>
    </w:p>
    <w:p w14:paraId="04A5602F" w14:textId="43EE68FA" w:rsidR="000A6E0A" w:rsidRDefault="00000000" w:rsidP="00A72057">
      <w:pPr>
        <w:pStyle w:val="Heading3"/>
        <w:rPr>
          <w:color w:val="000000" w:themeColor="text1"/>
        </w:rPr>
      </w:pPr>
      <w:r>
        <w:t>Требует, чтобы лица, на которых распространяется действие этой нормы, принимали меры по выявлению и устранению дискриминации при использовании вспомогательных инструментов принятия решений о лечении пациентов (параграф 92.210 главы 45 Свода федеральных нормативных правил США).</w:t>
      </w:r>
    </w:p>
    <w:p w14:paraId="28D8D22C" w14:textId="23BEA3B0" w:rsidR="000A6E0A" w:rsidRPr="00A72057" w:rsidRDefault="00000000" w:rsidP="007F579D">
      <w:pPr>
        <w:spacing w:after="480" w:line="257" w:lineRule="auto"/>
        <w:ind w:left="-14" w:right="-1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Окончательная норма гласит, что получающим федеральное финансирование программам и мероприятиям в области здравоохранения, регламентируемым HHS, а также биржам, функционирующим на уровне штатов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и федеральном уровне,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запрещается дискриминировать любое лицо по признаку расовой принадлежности, цвета кожи, национальности, пола, возраста или инвалидности при использовании инструментов поддержки принятия решений о лечении пациентов, которые включают автоматизированные и неавтоматизированные инструменты, механизмы, методы и технологии для оказания помощи пациентам. Данное положение не предназначено для препятствования использованию указанных инструментов: в нем уравновешивается роль технологий в снижении неравенства в вопросах здравоохранения и расширении доступа к медицинской помощи с необходимостью ответственного использования этих инструментов, которое не приводит к дискриминации при лечении пациентов. Окончательная норма требует, чтобы лица, на которых распространяется ее действие, приложили разумные усилия, чтобы определить инструменты поддержки принятия решений о лечении пациентов, которые используют входные параметры или факторы для оценки расовой принадлежности, цвета кожи, национального происхождения, пола, возраста или инвалидности, и приложили разумные усилия для снижения риска дискриминации, которая может возникнуть в результате использования таких инструментов.</w:t>
      </w:r>
    </w:p>
    <w:p w14:paraId="407A44A6" w14:textId="0DF4D056" w:rsidR="000A6E0A" w:rsidRDefault="00000000" w:rsidP="00A72057">
      <w:pPr>
        <w:pStyle w:val="Heading3"/>
      </w:pPr>
      <w:r>
        <w:t>Требует, чтобы лица, на которых распространяется действие данной нормы, внедрили политики и проводили обучение персонала согласно разделу 1557 (параграфы 92.8-92.9 главы 45 Свода федеральных нормативных правил США).</w:t>
      </w:r>
    </w:p>
    <w:p w14:paraId="41DCD64A" w14:textId="0DF4D056" w:rsidR="000A6E0A" w:rsidRPr="00A72057" w:rsidRDefault="00000000" w:rsidP="007F579D">
      <w:pPr>
        <w:spacing w:after="40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Окончательная норма требует, чтобы получающие федеральное финансирование программы и мероприятия в области здравоохранения, регламентируемые HHS, а также биржи, функционирующие на уровне штатов и на федеральном уровне, внедрили политики и процедуры во исполнение настоящей нормы. В частности, организации, на которые распространяется действие нормы, должны иметь политики для предоставления языковых услуг людям с LEP и обеспечения эффективной коммуникации и обоснованных изменений для людей с инвалидностью. Организации, на которые распространяется действие нормы, также обязаны обучать своих сотрудников этим политикам и процедурам. Эти требования помогут улучшить соблюдение требований.</w:t>
      </w:r>
    </w:p>
    <w:p w14:paraId="27EF052C" w14:textId="0DF4D056" w:rsidR="000A6E0A" w:rsidRDefault="00000000" w:rsidP="00A72057">
      <w:pPr>
        <w:pStyle w:val="Heading3"/>
      </w:pPr>
      <w:r>
        <w:lastRenderedPageBreak/>
        <w:t>Разъясняет, что требования о недопущении дискриминации применяются к программам и мероприятиям в области здравоохранения, предоставляемым посредством услуг телемедицины (параграф 92.211 главы 45 Свода федеральных нормативных правил США).</w:t>
      </w:r>
    </w:p>
    <w:p w14:paraId="1267CD64" w14:textId="3AE7576B" w:rsidR="000A6E0A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Окончательная норма отдельно касается вопроса о недопущении дискриминации в услугах телемедицины. В этом положении разъясняется, что получающие федеральное финансирование программы и мероприятия в области здравоохранения, регламентируемые HHS, а также биржи, функционирующие на уровне штатов и на федеральном уровне, не должны дискриминировать при осуществлении ими программ и мероприятий в области здравоохранения, предоставляемых посредством услуг телемедицины. То есть, они должны обеспечить доступность указанных услуг для людей с инвалидностью и предоставление полноценного доступа к программам людям с LEP.</w:t>
      </w:r>
    </w:p>
    <w:p w14:paraId="241F83B5" w14:textId="77777777" w:rsidR="001E49D8" w:rsidRDefault="00000000" w:rsidP="00A72057">
      <w:pPr>
        <w:pStyle w:val="Heading3"/>
      </w:pPr>
      <w:r>
        <w:t>Признает федеральные гарантии по вопросам свободы совести и вероисповедания (параграф 92.3 и 92.302 главы 45 Свода федеральных нормативных правил США).</w:t>
      </w:r>
    </w:p>
    <w:p w14:paraId="4056DF77" w14:textId="0D593BBD" w:rsidR="001E49D8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>Окончательная норма гласит, что применение нормы не требуется, если тем самым будут нарушены федеральные меры защиты свободы совести и вероисповедания. Согласно этой норме, получатель федерального финансирования может просто полагаться на эти меры защиты или добиваться, чтобы OCR HHS гарантировало ему наличие таких мер.</w:t>
      </w:r>
    </w:p>
    <w:p w14:paraId="61BD93CE" w14:textId="680C70F9" w:rsidR="000A6E0A" w:rsidRDefault="00000000" w:rsidP="00A72057">
      <w:pPr>
        <w:pStyle w:val="Heading3"/>
      </w:pPr>
      <w:r>
        <w:t>Уведомление о том, что часть B программы Medicare рассматривается как федеральное финансирование.</w:t>
      </w:r>
    </w:p>
    <w:p w14:paraId="39EEAE30" w14:textId="0DF4D056" w:rsidR="000A6E0A" w:rsidRPr="00A72057" w:rsidRDefault="00000000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В этой норме содержится уведомление о том, что министерство трактует выплаты согласно части B программы Medicare как федеральное финансирование для целей покрытия в соответствии с федеральными законами о гражданских правах, исполнение которых обеспечивает Министерство. К ним относятся 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Раздел VI Закона о гражданских правах 1964 г.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Раздел 504 Закона о реабилитации 1973 г.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Раздел IX Поправок об образовании 1972 г.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, </w:t>
      </w:r>
      <w:hyperlink r:id="rId1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Закон о дискриминации по признаку возраста 1975 г.</w:t>
        </w:r>
      </w:hyperlink>
      <w:r>
        <w:rPr>
          <w:rFonts w:ascii="Times New Roman" w:eastAsia="Times New Roman" w:hAnsi="Times New Roman" w:cs="Times New Roman"/>
          <w:color w:val="1B1B1B"/>
          <w:sz w:val="24"/>
          <w:szCs w:val="24"/>
          <w:lang w:val="ru-RU"/>
        </w:rPr>
        <w:t xml:space="preserve"> и Раздел 1557 Закона о доступном медицинском обслуживании ACA. Средства согласно части B программы Medicare соответствуют определению федерального финансирования согласно законодательству, как определено в положениях вышеуказанных законов. Министерство считает, что учитывая изменения, которые произошли в законодательстве и в программе Medicare, предыдущие основания для исключения части B программы Medicare утратили актуальность и что наиболее правильной трактовкой законодательства является изменение договора страхования с учетом цели и функционирования части B программы Medicare.</w:t>
      </w:r>
    </w:p>
    <w:p w14:paraId="2C078E63" w14:textId="56777B9F" w:rsidR="000A6E0A" w:rsidRPr="00A72057" w:rsidRDefault="00000000" w:rsidP="006100A9">
      <w:pPr>
        <w:spacing w:after="3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Адрес веб-страницы для просмотра или скачивания окончательной нормы: </w:t>
      </w:r>
      <w:hyperlink r:id="rId16" w:history="1">
        <w:r w:rsidR="009121FC">
          <w:rPr>
            <w:rStyle w:val="Hyperlink"/>
          </w:rPr>
          <w:t>hhs</w:t>
        </w:r>
        <w:r w:rsidR="009121FC" w:rsidRPr="009121FC">
          <w:rPr>
            <w:rStyle w:val="Hyperlink"/>
            <w:lang w:val="ru-RU"/>
          </w:rPr>
          <w:t>.</w:t>
        </w:r>
        <w:r w:rsidR="009121FC">
          <w:rPr>
            <w:rStyle w:val="Hyperlink"/>
          </w:rPr>
          <w:t>gov</w:t>
        </w:r>
        <w:r w:rsidR="009121FC" w:rsidRPr="009121FC">
          <w:rPr>
            <w:rStyle w:val="Hyperlink"/>
            <w:lang w:val="ru-RU"/>
          </w:rPr>
          <w:t>/1557</w:t>
        </w:r>
      </w:hyperlink>
    </w:p>
    <w:sectPr w:rsidR="000A6E0A" w:rsidRPr="00A7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A2DDBA"/>
    <w:rsid w:val="0005264F"/>
    <w:rsid w:val="000A6E0A"/>
    <w:rsid w:val="001E49D8"/>
    <w:rsid w:val="006100A9"/>
    <w:rsid w:val="007F579D"/>
    <w:rsid w:val="008B784B"/>
    <w:rsid w:val="009121FC"/>
    <w:rsid w:val="00A14D28"/>
    <w:rsid w:val="00A72057"/>
    <w:rsid w:val="00A75894"/>
    <w:rsid w:val="00B536F5"/>
    <w:rsid w:val="00D24A41"/>
    <w:rsid w:val="00D67D1C"/>
    <w:rsid w:val="00E34AFF"/>
    <w:rsid w:val="00E63514"/>
    <w:rsid w:val="0F7B94CA"/>
    <w:rsid w:val="28A2DDBA"/>
    <w:rsid w:val="790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DDBA"/>
  <w15:chartTrackingRefBased/>
  <w15:docId w15:val="{72304579-9FC1-4B04-940F-A326F2FB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057"/>
    <w:pPr>
      <w:keepNext/>
      <w:keepLines/>
      <w:spacing w:before="240" w:after="240" w:line="257" w:lineRule="auto"/>
      <w:ind w:left="-14" w:right="-14"/>
      <w:outlineLvl w:val="0"/>
    </w:pPr>
    <w:rPr>
      <w:rFonts w:ascii="Times New Roman" w:eastAsia="Times New Roman" w:hAnsi="Times New Roman" w:cs="Times New Roman"/>
      <w:b/>
      <w:bCs/>
      <w:color w:val="1B1B1B"/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057"/>
    <w:pPr>
      <w:keepNext/>
      <w:keepLines/>
      <w:spacing w:before="40" w:after="400" w:line="600" w:lineRule="auto"/>
      <w:ind w:left="-14" w:right="-14"/>
      <w:outlineLvl w:val="1"/>
    </w:pPr>
    <w:rPr>
      <w:rFonts w:ascii="Times New Roman" w:eastAsia="Times New Roman" w:hAnsi="Times New Roman" w:cs="Times New Roman"/>
      <w:b/>
      <w:bCs/>
      <w:color w:val="1B1B1B"/>
      <w:sz w:val="24"/>
      <w:szCs w:val="24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057"/>
    <w:pPr>
      <w:spacing w:after="200" w:line="257" w:lineRule="auto"/>
      <w:ind w:left="-20" w:right="-2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057"/>
    <w:rPr>
      <w:rFonts w:ascii="Times New Roman" w:eastAsia="Times New Roman" w:hAnsi="Times New Roman" w:cs="Times New Roman"/>
      <w:b/>
      <w:bCs/>
      <w:color w:val="1B1B1B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2057"/>
    <w:rPr>
      <w:rFonts w:ascii="Times New Roman" w:eastAsia="Times New Roman" w:hAnsi="Times New Roman" w:cs="Times New Roman"/>
      <w:b/>
      <w:bCs/>
      <w:color w:val="1B1B1B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D24A4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72057"/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code.house.gov/view.xhtml?req=(title:42%20section:18116%20edition:prelim)" TargetMode="External"/><Relationship Id="rId13" Type="http://schemas.openxmlformats.org/officeDocument/2006/relationships/hyperlink" Target="https://uscode.house.gov/view.xhtml?req=granuleid:USC-prelim-title29-section794&amp;num=0&amp;edition=preli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code.house.gov/view.xhtml?path=/prelim@title42/chapter21/subchapter5&amp;edition=preli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www.hhs.gov%2Fcivil-rights%2Ffor-individuals%2Fsection-1557%2Findex.html&amp;data=05%7C02%7CKate.Sweeney%40hhs.gov%7Cde677175a67c4bf03b6a08dc655fc0a9%7Cd58addea50534a808499ba4d944910df%7C0%7C0%7C638496709134090269%7CUnknown%7CTWFpbGZsb3d8eyJWIjoiMC4wLjAwMDAiLCJQIjoiV2luMzIiLCJBTiI6Ik1haWwiLCJXVCI6Mn0%3D%7C0%7C%7C%7C&amp;sdata=vRkCj5cv4QI0H0uIPtwbKZNCDNxaPle9sj%2B5pEETkHk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premecourt.gov/opinions/19pdf/17-1618_hfci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code.house.gov/view.xhtml?path=/prelim@title42/chapter76&amp;edition=prelim" TargetMode="External"/><Relationship Id="rId10" Type="http://schemas.openxmlformats.org/officeDocument/2006/relationships/hyperlink" Target="https://www.federalregister.gov/documents/2020/06/19/2020-11758/nondiscrimination-in-health-and-health-education-programs-or-activities-delegation-of-authorit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crportal.hhs.gov/ocr/smartscreen/main.jsf" TargetMode="External"/><Relationship Id="rId14" Type="http://schemas.openxmlformats.org/officeDocument/2006/relationships/hyperlink" Target="https://uscode.house.gov/view.xhtml?path=/prelim@title20/chapter38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9" ma:contentTypeDescription="Create a new document." ma:contentTypeScope="" ma:versionID="65ec5334cccb9df55b93ff12f4153d26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593658056bfbe1c86c7aeba8e3d73c40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Notes" minOccurs="0"/>
                <xsd:element ref="ns2:Finalversio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inalversion" ma:index="22" nillable="true" ma:displayName="Final version" ma:default="1" ma:format="Dropdown" ma:internalName="Finalversion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280586-07de-4c8e-830b-710be8a7978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version xmlns="3c1caa5a-c780-48ca-a6c9-b482f661779f">true</Finalversion>
    <Notes xmlns="3c1caa5a-c780-48ca-a6c9-b482f661779f" xsi:nil="true"/>
    <TaxCatchAll xmlns="8e93af26-c2f7-4713-98b4-0ec2b43fceef" xsi:nil="true"/>
    <Date xmlns="3c1caa5a-c780-48ca-a6c9-b482f661779f" xsi:nil="true"/>
    <lcf76f155ced4ddcb4097134ff3c332f xmlns="3c1caa5a-c780-48ca-a6c9-b482f661779f">
      <Terms xmlns="http://schemas.microsoft.com/office/infopath/2007/PartnerControls"/>
    </lcf76f155ced4ddcb4097134ff3c332f>
    <SharedWithUsers xmlns="8e93af26-c2f7-4713-98b4-0ec2b43fceef">
      <UserInfo>
        <DisplayName>Babecki, Marie-Genevieve (HHS/OCR) (CTR)</DisplayName>
        <AccountId>142</AccountId>
        <AccountType/>
      </UserInfo>
      <UserInfo>
        <DisplayName>Ma, Jenny (HHS/OCR)</DisplayName>
        <AccountId>123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4173-D9F3-424A-B833-D92F96F01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C9F68-9465-49EA-950A-1B56EAE4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A4EF1-FE7A-4892-A5AF-681109693A05}">
  <ds:schemaRefs>
    <ds:schemaRef ds:uri="http://schemas.microsoft.com/office/2006/metadata/properties"/>
    <ds:schemaRef ds:uri="http://schemas.microsoft.com/office/infopath/2007/PartnerControls"/>
    <ds:schemaRef ds:uri="3c1caa5a-c780-48ca-a6c9-b482f661779f"/>
    <ds:schemaRef ds:uri="8e93af26-c2f7-4713-98b4-0ec2b43fceef"/>
  </ds:schemaRefs>
</ds:datastoreItem>
</file>

<file path=customXml/itemProps4.xml><?xml version="1.0" encoding="utf-8"?>
<ds:datastoreItem xmlns:ds="http://schemas.openxmlformats.org/officeDocument/2006/customXml" ds:itemID="{0C5D2494-1A31-4895-B38C-CFBD942C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 Section 1557 Fact Sheet_Russian</vt:lpstr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Section 1557 Fact Sheet_Russian</dc:title>
  <dc:creator>HHS/OCR</dc:creator>
  <cp:lastModifiedBy>Sweeney, Kate (OS/OCIO/OES)</cp:lastModifiedBy>
  <cp:revision>3</cp:revision>
  <dcterms:created xsi:type="dcterms:W3CDTF">2024-04-25T14:00:00Z</dcterms:created>
  <dcterms:modified xsi:type="dcterms:W3CDTF">2024-04-25T21:03:00Z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