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0F8B" w14:textId="0DF4FA55" w:rsidR="00367442" w:rsidRPr="006F4EAF" w:rsidRDefault="00000000" w:rsidP="006F4EAF">
      <w:pPr>
        <w:pStyle w:val="Heading1"/>
      </w:pPr>
      <w:r w:rsidRPr="00A30C07">
        <w:t xml:space="preserve">Wzmocnienie ochrony przed dyskryminacją i popieranie praw obywatelskich w opiece </w:t>
      </w:r>
      <w:r w:rsidRPr="006F4EAF">
        <w:t>zdrowotnej na mocy art. 1557 Ustawy o przystępnej opiece zdrowotnej: Arkusz informacyjny</w:t>
      </w:r>
    </w:p>
    <w:p w14:paraId="3DD9D526" w14:textId="0F92074C" w:rsidR="00367442" w:rsidRPr="00A30C07" w:rsidRDefault="00000000" w:rsidP="00C841B5">
      <w:pPr>
        <w:spacing w:after="5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pl-PL"/>
        </w:rPr>
        <w:t xml:space="preserve"> </w:t>
      </w:r>
      <w:r w:rsidRPr="00A30C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FFFFFF"/>
          <w:lang w:val="pl-PL"/>
        </w:rPr>
        <w:t>Niniejszy arkusz jest zaledwie podsumowaniem informacji – nie stanowi on odrębnej interpretacji artykułu 1557. Aby zapoznać się z dokładną wykładnią w tym zakresie, należy odnieść się do treści ostatecznych zasad.</w:t>
      </w:r>
    </w:p>
    <w:p w14:paraId="7CED3D35" w14:textId="4C725935" w:rsidR="00367442" w:rsidRPr="00A30C07" w:rsidRDefault="00000000" w:rsidP="00C841B5">
      <w:pPr>
        <w:spacing w:after="640" w:line="257" w:lineRule="auto"/>
        <w:ind w:left="-14" w:right="-14"/>
        <w:rPr>
          <w:rFonts w:ascii="Times New Roman" w:eastAsia="Times New Roman" w:hAnsi="Times New Roman" w:cs="Times New Roman"/>
          <w:color w:val="1B1B1B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 xml:space="preserve">Departament Zdrowia i Opieki Społecznej (Department of Health and Human Services, HHS) wydał ostateczne zasady mające na celu zwiększenie równości i zmniejszenie nierówności w zakresie dostępu do opieki zdrowotnej. </w:t>
      </w:r>
      <w:hyperlink r:id="rId7">
        <w:r w:rsidRPr="00A30C07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Artykuł 1557 Ustawy o przystępnej opiece zdrowotnej (Affordable Care Act, ACA</w:t>
        </w:r>
      </w:hyperlink>
      <w:r w:rsidRPr="00A30C07">
        <w:rPr>
          <w:rStyle w:val="Hyperlink"/>
          <w:rFonts w:ascii="Times New Roman" w:hAnsi="Times New Roman" w:cs="Times New Roman"/>
          <w:sz w:val="24"/>
          <w:szCs w:val="24"/>
          <w:lang w:val="pl-PL"/>
        </w:rPr>
        <w:t>)</w:t>
      </w: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 xml:space="preserve"> zabrania dyskryminacji ze względu na rasę, kolor skóry, narodowość, płeć, wiek lub niepełnosprawność w jakimkolwiek programie opieki zdrowotnej lub działalności, która otrzymuje pomoc finansową ze strony rządu federalnego, na jakiejkolwiek stanowej giełdzie ubezpieczeń zdrowotnych oraz w programach i działaniach związanych ze służbą zdrowia podejmowanych przez HHS. Artykuł ten stanowi jedno z najpotężniejszych rządowych narzędzi zapewniających dostęp do opieki zdrowotnej na zasadach wolnych od dyskryminacji. Zasady te zapewniają przejrzystość w zakresie interpretacji artykułu 1557 i pomagają wdrożyć środki mające zapewnić wolny od dyskryminacji dostęp do opieki dla wszystkich, włącznie z kobietami, osobami niepełnosprawnymi, osobami LGBTQI+, osobami o ograniczonej znajomości języka angielskiego (LEP), osobami o innym kolorze skóry i wszelkimi innymi osobami, niezależnie od wieku. Jeśli uważa Pan/Pani, że Pan/Pani lub inna osoba padła ofiarą dyskryminacji ze względu na rasę, kolor skóry, narodowość, płeć, wiek lub niepełnosprawność, proszę odwiedzić </w:t>
      </w:r>
      <w:hyperlink r:id="rId8">
        <w:r w:rsidRPr="00A30C07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portal do składania skarg Biura Praw Obywatelskich (Office for Civil Rights, OCR)</w:t>
        </w:r>
        <w:r w:rsidRPr="00A30C0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FFFFFF"/>
            <w:lang w:val="pl-PL"/>
          </w:rPr>
          <w:t>,</w:t>
        </w:r>
      </w:hyperlink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 xml:space="preserve"> aby złożyć skargę online.</w:t>
      </w:r>
    </w:p>
    <w:p w14:paraId="4C63711C" w14:textId="0AE23BD8" w:rsidR="00367442" w:rsidRPr="006F4EAF" w:rsidRDefault="00000000" w:rsidP="006F4EAF">
      <w:pPr>
        <w:pStyle w:val="Heading2"/>
      </w:pPr>
      <w:r w:rsidRPr="006F4EAF">
        <w:t>Podsumowanie ostatecznych zasad</w:t>
      </w:r>
    </w:p>
    <w:p w14:paraId="1DF72587" w14:textId="77777777" w:rsidR="00367442" w:rsidRPr="006F4EAF" w:rsidRDefault="00000000" w:rsidP="006F4EAF">
      <w:pPr>
        <w:pStyle w:val="Heading3"/>
      </w:pPr>
      <w:r w:rsidRPr="006F4EAF">
        <w:t>Zasady przywracają ochronę ubezpieczeniową zgodnie z artykułem 1557 (45 CFR 92.2, 92.4 i 92.207).</w:t>
      </w:r>
    </w:p>
    <w:p w14:paraId="2D67642A" w14:textId="77777777" w:rsidR="00367442" w:rsidRPr="00A30C07" w:rsidRDefault="00000000">
      <w:pPr>
        <w:spacing w:after="200" w:line="256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>Ostateczne zasady przywracają zastosowanie artykułu 1557 do emitentów ubezpieczeń zdrowotnych, którzy otrzymują federalną pomoc finansową oraz zwiększa zakres, w którym artykuł ten jest stosowany. Zdając sobie sprawę z istotnej roli, jaką ubezpieczenie zdrowotne odgrywa w zapewnianiu opieki zdrowotnej, zasady te zapewniają jasne standardy niedyskryminacyjne dla branży.</w:t>
      </w:r>
    </w:p>
    <w:p w14:paraId="727A7AF8" w14:textId="77777777" w:rsidR="00367442" w:rsidRPr="00A30C07" w:rsidRDefault="00000000" w:rsidP="006F4EAF">
      <w:pPr>
        <w:pStyle w:val="Heading3"/>
      </w:pPr>
      <w:r w:rsidRPr="00A30C07">
        <w:t>Zasady przywracają stosowanie artykułu 1557 do wszystkich programów i działań zdrowotnych zarządzanych przez HHS (45 CFR 92.2(a)(2)).</w:t>
      </w:r>
    </w:p>
    <w:p w14:paraId="5FCC6285" w14:textId="77777777" w:rsidR="00367442" w:rsidRPr="00A30C07" w:rsidRDefault="00000000">
      <w:pPr>
        <w:spacing w:after="200" w:line="256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lastRenderedPageBreak/>
        <w:t>Zasady obejmują standardami w zakresie zakazu dyskryminacji wszystkie programy i działania w zakresie służby zdrowia podejmowane przez HHS. Zasady z 2020 r. (</w:t>
      </w:r>
      <w:hyperlink r:id="rId9">
        <w:r w:rsidRPr="00A30C07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Reg. 85 Fed. 37160</w:t>
        </w:r>
      </w:hyperlink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 xml:space="preserve"> (19 czerwca 2020 r.)) ograniczyły zakres wymogów ujętych w treści artykułu 1557, które muszą zostać spełnione, by zasady dotyczące zakazu dyskryminacji miały zastosowanie. Departament uważa, że interpretacja artykułu 1557, z której wynika objęcie wszystkich programów opieki zdrowotnej i działań zarządzanych przez HHS, jest najlepszym możliwym sposobem interpretacji ustawy, który chroni największą możliwą ilość osób przed dyskryminacją w szerokim zakresie programów i działań zdrowotnych prowadzonych przez Departament, w tym między innymi programów i działań administrowanych przez Indian Health Service, centra usług związane z programami Medicare i Medicaid oraz Narodowe Instytuty Zdrowia.</w:t>
      </w:r>
    </w:p>
    <w:p w14:paraId="3EEC6DD8" w14:textId="77777777" w:rsidR="00367442" w:rsidRPr="00A30C07" w:rsidRDefault="00000000" w:rsidP="006F4EAF">
      <w:pPr>
        <w:pStyle w:val="Heading3"/>
      </w:pPr>
      <w:r w:rsidRPr="00A30C07">
        <w:t>Zasady chronią pacjentów LGBTQI+ przed dyskryminacją i wyjaśniają postanowienia artykułu 1557 w zakresie zakazu dyskryminacji ze względu na płeć (45 CFR 92.101, 92.206).</w:t>
      </w:r>
    </w:p>
    <w:p w14:paraId="0F3ED608" w14:textId="77777777" w:rsidR="00367442" w:rsidRPr="00A30C07" w:rsidRDefault="00000000">
      <w:pPr>
        <w:spacing w:after="200" w:line="256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 xml:space="preserve">Zgodnie z orzeczeniem Sądu Najwyższego Stanów Zjednoczonych w sprawie </w:t>
      </w:r>
      <w:hyperlink r:id="rId10">
        <w:r w:rsidRPr="00A30C07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Bostock przeciwko hrabstwu Clayton</w:t>
        </w:r>
        <w:r w:rsidRPr="00A30C07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pl-PL"/>
          </w:rPr>
          <w:t xml:space="preserve"> – PDF</w:t>
        </w:r>
      </w:hyperlink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>, ostateczne zasady potwierdzają, że ochrona przed dyskryminacją ze względu na orientację seksualną obejmuje ochronę przed dyskryminacją ze względu na orientację seksualną i tożsamość płciową.</w:t>
      </w:r>
    </w:p>
    <w:p w14:paraId="78A5AD38" w14:textId="77777777" w:rsidR="00367442" w:rsidRPr="00A30C07" w:rsidRDefault="00000000">
      <w:pPr>
        <w:spacing w:after="200" w:line="256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>Ostateczne zasady wyjaśniają również, że dyskryminacja ze względu na płeć obejmuje dyskryminację ze względu na stereotypy płciowe, cechy płciowe, w tym cechy interseksualne oraz ciążę lub powiązane warunki.</w:t>
      </w:r>
    </w:p>
    <w:p w14:paraId="06F34604" w14:textId="6C163D41" w:rsidR="00367442" w:rsidRPr="00A30C07" w:rsidRDefault="00000000" w:rsidP="006F4EAF">
      <w:pPr>
        <w:pStyle w:val="Heading3"/>
      </w:pPr>
      <w:r w:rsidRPr="00A30C07">
        <w:t>Od osób objętych zasadami, w tym świadczeniodawców, wydawców ubezpieczeń i programów zarządzanych przez HHS, wymaga się poinformowania domeny publicznej, że dostępna jest pomoc i obsługa językowa (45 CFR 92.11).</w:t>
      </w:r>
    </w:p>
    <w:p w14:paraId="3DD1C6EB" w14:textId="2D64519A" w:rsidR="00367442" w:rsidRPr="00A30C07" w:rsidRDefault="00000000">
      <w:pPr>
        <w:spacing w:after="200" w:line="256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 xml:space="preserve">Ostateczne zasady stanowią, że od beneficjentów federalnej pomocy finansowej, programów i działań zdrowotnych zarządzanych przez HHS oraz stanowych i wspieranych federalnie giełd wymaga się poinformowania domeny publicznej, że w razie potrzeby dostępna jest pomoc i obsługa językowa. Powiadomienie musi być przekazywane w języku angielskim i przynajmniej w 15 najpopularniejszych językach używanych przez osoby z ograniczoną znajomością języka angielskiego (LEP) w określonych stanach. Aby zapewnić skuteczną komunikację, </w:t>
      </w:r>
      <w:r w:rsidRPr="00A30C07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pl-PL"/>
        </w:rPr>
        <w:t xml:space="preserve">powiadomienia należy przekazywać osobom niepełnosprawnym tak samo skutecznie, jak osobom bez niepełnosprawności. </w:t>
      </w: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>Podmioty objęte zasadami są zobowiązane do przekazywania tych informacji w widocznych miejscach, zarówno fizycznych, jak i na ich stronach internetowych, udostępniania ich na żądanie i dołączania do nich określonej listy komunikatów.</w:t>
      </w:r>
    </w:p>
    <w:p w14:paraId="33C8F971" w14:textId="7C9B426E" w:rsidR="00367442" w:rsidRPr="00A30C07" w:rsidRDefault="00000000" w:rsidP="006F4EAF">
      <w:pPr>
        <w:pStyle w:val="Heading3"/>
      </w:pPr>
      <w:r w:rsidRPr="00A30C07">
        <w:t>Od osób objętych zasadami wymaga się podjęcia kroków w celu zidentyfikowania i złagodzenia dyskryminacji wynikającej z podejmowania decyzji dotyczących pacjentów za pomocą narzędzi wspomagających podejmowanie decyzji (45 CFR 92.210).</w:t>
      </w:r>
    </w:p>
    <w:p w14:paraId="2F2BF2B1" w14:textId="6B506CB8" w:rsidR="00367442" w:rsidRPr="00A30C07" w:rsidRDefault="00000000" w:rsidP="00C47C07">
      <w:pPr>
        <w:spacing w:after="640" w:line="257" w:lineRule="auto"/>
        <w:ind w:left="-14" w:right="-1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pl-PL"/>
        </w:rPr>
        <w:t xml:space="preserve">Ostateczne zasady stanowią, że beneficjenci federalnej pomocy finansowej, programy i działania zdrowotne zarządzane przez HHS oraz stanowe </w:t>
      </w: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>i wspierane federalnie</w:t>
      </w:r>
      <w:r w:rsidRPr="00A30C07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pl-PL"/>
        </w:rPr>
        <w:t xml:space="preserve"> giełdy nie mogą nikogo dyskryminować ze względu na rasę, kolor skóry, pochodzenie narodowe, płeć, wiek lub </w:t>
      </w:r>
      <w:r w:rsidRPr="00A30C07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pl-PL"/>
        </w:rPr>
        <w:lastRenderedPageBreak/>
        <w:t>niepełnosprawność poprzez korzystanie z narzędzi wspomagających podejmowanie decyzji dotyczących opieki nad pacjentem, które obejmują zautomatyzowane i nieautomatyczne narzędzia, mechanizmy, metody i technologie zapewniające opiekę nad pacjentem. Postanowienie to nie ma na celu utrudniania korzystania z takich narzędzi. Ma ono za zadanie równoważyć rolę technologii w zmniejszaniu nierówności w zakresie zdrowia i zwiększaniu dostępu do opieki z potrzebą odpowiedzialnego korzystania z tych narzędzi w sposób, który nie prowadzi do dyskryminacji w opiece nad pacjentem. Ostateczne zasady wymagają, aby osoby i podmioty objęte ich zakresem dołożyły uzasadnionych starań w celu zidentyfikowania narzędzi wspomagających podejmowanie decyzji dotyczących opieki nad pacjentem, które biorą pod uwagę czynniki takie jak rasę, kolor skóry, pochodzenie narodowe, płeć, wiek lub niepełnosprawność oraz dołożyły uzasadnionych starań w celu ograniczenia ryzyka dyskryminacji, które może wynikać z korzystania z takich narzędzi.</w:t>
      </w:r>
    </w:p>
    <w:p w14:paraId="440A480B" w14:textId="77777777" w:rsidR="00367442" w:rsidRPr="00A30C07" w:rsidRDefault="00000000" w:rsidP="006F4EAF">
      <w:pPr>
        <w:pStyle w:val="Heading3"/>
      </w:pPr>
      <w:r w:rsidRPr="00A30C07">
        <w:t>Od osób objętych zasadami wymaga się wdrożenia postanowień artykułu 1557 w zakresie szkoleń dla personelu (45 CFR 92.8-92.9).</w:t>
      </w:r>
    </w:p>
    <w:p w14:paraId="597A9C5F" w14:textId="77777777" w:rsidR="00367442" w:rsidRPr="00A30C07" w:rsidRDefault="00000000">
      <w:pPr>
        <w:spacing w:after="200" w:line="256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>Ostateczne zasady wymagają od beneficjentów federalnej pomocy finansowej, programów i działań zdrowotnych administrowanych przez HHS oraz stanowych i wspieranych federalnie giełd wdrożenia zasad i procedur w celu zapewnienia zgodności z postanowieniami zasad. W szczególności podmioty objęte zasadami muszą wdrożyć zasady świadczenia usług pomocy i obsługi językowej dla osób z ograniczoną znajomością języka angielskiego oraz zapewnić skuteczną komunikację i uzasadnione udogodnienia dla osób niepełnosprawnych. Podmioty objęte zakresem zasad są również zobowiązane do przeszkolenia personelu w zakresie treści odnośnych zasad i procedur. Wymogi te pomogą poprawić zgodność z przepisami.</w:t>
      </w:r>
    </w:p>
    <w:p w14:paraId="4FCDC233" w14:textId="77777777" w:rsidR="00367442" w:rsidRPr="00A30C07" w:rsidRDefault="00000000" w:rsidP="006F4EAF">
      <w:pPr>
        <w:pStyle w:val="Heading3"/>
      </w:pPr>
      <w:r w:rsidRPr="00A30C07">
        <w:t>Zasady wyjaśniają, że wymogi dotyczące zakazu dyskryminacji mają zastosowanie do programów opieki zdrowotnej i działań świadczonych za pośrednictwem usług telemedycyny (45 CFR 92.211).</w:t>
      </w:r>
    </w:p>
    <w:p w14:paraId="23A008A1" w14:textId="0767CB4E" w:rsidR="00367442" w:rsidRPr="00A30C07" w:rsidRDefault="00000000">
      <w:pPr>
        <w:spacing w:after="200" w:line="256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>Ostateczne zasady odnoszą się konkretnie do zakazu dyskryminacji w usługach z zakresu telemedycyny. Postanowienie to wyjaśnia, że beneficjenci federalnej pomocy finansowej, programy i działania zdrowotne administrowane przez HHS oraz stanowe i wspierane federalnie giełdy nie mogą dyskryminować obsługiwanych osób w ramach świadczenia programów i działań zdrowotnych, które realizowane są za pomocą usług w zakresie telemedycyny. Oznacza to zapewnienie dostępu do takich usług osobom niepełnosprawnym i zapewnienie znaczącego dostępu do programu osobom z ograniczoną znajomością języka angielskiego.</w:t>
      </w:r>
    </w:p>
    <w:p w14:paraId="4D77C3C2" w14:textId="77777777" w:rsidR="00367442" w:rsidRPr="00A30C07" w:rsidRDefault="00000000" w:rsidP="006F4EAF">
      <w:pPr>
        <w:pStyle w:val="Heading3"/>
      </w:pPr>
      <w:r w:rsidRPr="00A30C07">
        <w:t>Zasady podkreślają poszanowanie federalnych gwarancji dotyczących wolności religijnej i sumienia (45 CFR 92.3 i 92.302).</w:t>
      </w:r>
    </w:p>
    <w:p w14:paraId="069DB6F5" w14:textId="77777777" w:rsidR="00367442" w:rsidRPr="00A30C07" w:rsidRDefault="00000000">
      <w:pPr>
        <w:spacing w:after="200" w:line="256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>Treść ostatecznych zasad stanowi, że ich zastosowanie nie będzie wymagane w przypadku, gdyby takie zastosowanie naruszyłoby federalne mechanizmy ochrony wolności religijnej i sumienia. Na mocy zasad, beneficjent federalnej pomocy finansowej może zwyczajnie polegać na takich mechanizmach ochrony lub uzyskać ich gwarancję ze strony OCR HHS.</w:t>
      </w:r>
    </w:p>
    <w:p w14:paraId="6B80816F" w14:textId="77777777" w:rsidR="00367442" w:rsidRPr="00A30C07" w:rsidRDefault="00000000" w:rsidP="006F4EAF">
      <w:pPr>
        <w:pStyle w:val="Heading3"/>
      </w:pPr>
      <w:r w:rsidRPr="00A30C07">
        <w:lastRenderedPageBreak/>
        <w:t>Powiadomienie dotyczące federalnej pomocy finansowej w ramach Części B Medicare.</w:t>
      </w:r>
    </w:p>
    <w:p w14:paraId="3BF27483" w14:textId="77777777" w:rsidR="00367442" w:rsidRPr="00A30C07" w:rsidRDefault="00000000">
      <w:pPr>
        <w:spacing w:after="200" w:line="256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 xml:space="preserve">Zasady te stanowią potwierdzenie interpretacji Departamentu, z której wynika, że płatności dokonane w ramach Części B programu Medicare kwalifikują się jako federalna pomoc finansowa na cele objęcia ubezpieczeniem na mocy federalnych ustaw o prawach obywatelskich, które Departament egzekwuje. Obejmują one </w:t>
      </w:r>
      <w:hyperlink r:id="rId11">
        <w:r w:rsidRPr="00A30C07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tytuł VI ustawy z 1964 r. o prawach obywatelskich</w:t>
        </w:r>
      </w:hyperlink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 xml:space="preserve">, </w:t>
      </w:r>
      <w:hyperlink r:id="rId12">
        <w:r w:rsidRPr="00A30C07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artykuł 504 ustawy o rehabilitacji z 1973</w:t>
        </w:r>
      </w:hyperlink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 xml:space="preserve"> r., </w:t>
      </w:r>
      <w:hyperlink r:id="rId13">
        <w:r w:rsidRPr="00A30C07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tytuł IX poprawek edukacyjnych z 1972</w:t>
        </w:r>
      </w:hyperlink>
      <w:r w:rsidRPr="00A30C07">
        <w:rPr>
          <w:rStyle w:val="Hyperlink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 xml:space="preserve">r., </w:t>
      </w:r>
      <w:hyperlink r:id="rId14">
        <w:r w:rsidRPr="00A30C07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ustawę o dyskryminacji ze względu na wiek z 1975</w:t>
        </w:r>
      </w:hyperlink>
      <w:r w:rsidRPr="00A30C07">
        <w:rPr>
          <w:rFonts w:ascii="Times New Roman" w:eastAsia="Times New Roman" w:hAnsi="Times New Roman" w:cs="Times New Roman"/>
          <w:color w:val="1B1B1B"/>
          <w:sz w:val="24"/>
          <w:szCs w:val="24"/>
          <w:u w:color="FFFFFF"/>
          <w:lang w:val="pl-PL"/>
        </w:rPr>
        <w:t xml:space="preserve"> r. oraz artykuł 1557 ACA. Fundusze wypłacane w ramach Części B programu Medicare spełniają definicję federalnej pomocy finansowej zgodnie z przepisami prawa, określoną w przepisach dotyczących powyższych ustaw. Departament uważa, że zważywszy na zmiany, które zaszły w prawie i w odniesieniu do programu Medicare, wcześniejsze wyjaśnienia uzasadniające wyłączenie Części B programu Medicare są nieaktualne oraz że zmiana polityki w tym zakresie jest najlepszą możliwą wykładnią praw obywatelskich w kontekście celu i zasady działania Części B programu Medicare.</w:t>
      </w:r>
    </w:p>
    <w:p w14:paraId="00FE236F" w14:textId="1EF3A619" w:rsidR="00367442" w:rsidRPr="00A30C07" w:rsidRDefault="00000000" w:rsidP="00C47C07">
      <w:pPr>
        <w:spacing w:after="3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A30C07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pl-PL"/>
        </w:rPr>
        <w:t xml:space="preserve">Ostateczne zasady można przeczytać lub pobrać tutaj: </w:t>
      </w:r>
      <w:hyperlink r:id="rId15" w:history="1">
        <w:r w:rsidR="00412E68" w:rsidRPr="00412E68">
          <w:rPr>
            <w:rStyle w:val="Hyperlink"/>
            <w:lang w:val="pl-PL"/>
          </w:rPr>
          <w:t>hhs.gov/1557</w:t>
        </w:r>
      </w:hyperlink>
    </w:p>
    <w:sectPr w:rsidR="00367442" w:rsidRPr="00A30C07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442"/>
    <w:rsid w:val="00367442"/>
    <w:rsid w:val="00412E68"/>
    <w:rsid w:val="00616BDA"/>
    <w:rsid w:val="006F4EAF"/>
    <w:rsid w:val="00A30C07"/>
    <w:rsid w:val="00C47C07"/>
    <w:rsid w:val="00C841B5"/>
    <w:rsid w:val="00D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BDBD"/>
  <w15:docId w15:val="{C89175F2-AD5C-485F-9B2F-59805BF1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4EAF"/>
    <w:pPr>
      <w:keepNext/>
      <w:keepLines/>
      <w:spacing w:before="240" w:after="280" w:line="257" w:lineRule="auto"/>
      <w:ind w:left="-14" w:right="-14"/>
      <w:outlineLvl w:val="0"/>
    </w:pPr>
    <w:rPr>
      <w:rFonts w:ascii="Times New Roman" w:eastAsia="Times New Roman" w:hAnsi="Times New Roman" w:cs="Times New Roman"/>
      <w:b/>
      <w:bCs/>
      <w:color w:val="1B1B1B"/>
      <w:sz w:val="24"/>
      <w:szCs w:val="24"/>
      <w:u w:color="FFFFFF"/>
      <w:lang w:val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EAF"/>
    <w:pPr>
      <w:keepNext/>
      <w:keepLines/>
      <w:spacing w:before="40" w:after="440" w:line="257" w:lineRule="auto"/>
      <w:ind w:left="-14" w:right="-14"/>
      <w:outlineLvl w:val="1"/>
    </w:pPr>
    <w:rPr>
      <w:rFonts w:ascii="Times New Roman" w:eastAsia="Times New Roman" w:hAnsi="Times New Roman" w:cs="Times New Roman"/>
      <w:b/>
      <w:bCs/>
      <w:color w:val="1B1B1B"/>
      <w:sz w:val="24"/>
      <w:szCs w:val="24"/>
      <w:u w:color="FFFFFF"/>
      <w:lang w:val="pl-P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4EAF"/>
    <w:pPr>
      <w:spacing w:after="200" w:line="257" w:lineRule="auto"/>
      <w:ind w:left="-14" w:right="-14"/>
      <w:outlineLvl w:val="2"/>
    </w:pPr>
    <w:rPr>
      <w:rFonts w:ascii="Times New Roman" w:eastAsia="Times New Roman" w:hAnsi="Times New Roman" w:cs="Times New Roman"/>
      <w:b/>
      <w:bCs/>
      <w:color w:val="1B1B1B"/>
      <w:sz w:val="24"/>
      <w:szCs w:val="24"/>
      <w:u w:color="FFFFFF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F4EAF"/>
    <w:rPr>
      <w:rFonts w:ascii="Times New Roman" w:eastAsia="Times New Roman" w:hAnsi="Times New Roman" w:cs="Times New Roman"/>
      <w:b/>
      <w:bCs/>
      <w:color w:val="1B1B1B"/>
      <w:sz w:val="24"/>
      <w:szCs w:val="24"/>
      <w:u w:color="FFFFFF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F4EAF"/>
    <w:rPr>
      <w:rFonts w:ascii="Times New Roman" w:eastAsia="Times New Roman" w:hAnsi="Times New Roman" w:cs="Times New Roman"/>
      <w:b/>
      <w:bCs/>
      <w:color w:val="1B1B1B"/>
      <w:sz w:val="24"/>
      <w:szCs w:val="24"/>
      <w:u w:color="FFFFFF"/>
      <w:lang w:val="pl-PL"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Revision">
    <w:name w:val="Revision"/>
    <w:uiPriority w:val="99"/>
    <w:semiHidden/>
    <w:qFormat/>
  </w:style>
  <w:style w:type="character" w:customStyle="1" w:styleId="Heading3Char">
    <w:name w:val="Heading 3 Char"/>
    <w:basedOn w:val="DefaultParagraphFont"/>
    <w:link w:val="Heading3"/>
    <w:uiPriority w:val="9"/>
    <w:rsid w:val="006F4EAF"/>
    <w:rPr>
      <w:rFonts w:ascii="Times New Roman" w:eastAsia="Times New Roman" w:hAnsi="Times New Roman" w:cs="Times New Roman"/>
      <w:b/>
      <w:bCs/>
      <w:color w:val="1B1B1B"/>
      <w:sz w:val="24"/>
      <w:szCs w:val="24"/>
      <w:u w:color="FFFFF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rportal.hhs.gov/ocr/smartscreen/main.jsf" TargetMode="External"/><Relationship Id="rId13" Type="http://schemas.openxmlformats.org/officeDocument/2006/relationships/hyperlink" Target="https://uscode.house.gov/view.xhtml?path=/prelim@title20/chapter38&amp;edition=preli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code.house.gov/view.xhtml?req=(title:42%20section:18116%20edition:prelim)" TargetMode="External"/><Relationship Id="rId12" Type="http://schemas.openxmlformats.org/officeDocument/2006/relationships/hyperlink" Target="https://uscode.house.gov/view.xhtml?req=granuleid:USC-prelim-title29-section794&amp;num=0&amp;edition=preli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code.house.gov/view.xhtml?path=/prelim@title42/chapter21/subchapter5&amp;edition=preli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cc02.safelinks.protection.outlook.com/?url=https%3A%2F%2Fwww.hhs.gov%2Fcivil-rights%2Ffor-individuals%2Fsection-1557%2Findex.html&amp;data=05%7C02%7CKate.Sweeney%40hhs.gov%7Cde677175a67c4bf03b6a08dc655fc0a9%7Cd58addea50534a808499ba4d944910df%7C0%7C0%7C638496709134090269%7CUnknown%7CTWFpbGZsb3d8eyJWIjoiMC4wLjAwMDAiLCJQIjoiV2luMzIiLCJBTiI6Ik1haWwiLCJXVCI6Mn0%3D%7C0%7C%7C%7C&amp;sdata=vRkCj5cv4QI0H0uIPtwbKZNCDNxaPle9sj%2B5pEETkHk%3D&amp;reserved=0" TargetMode="External"/><Relationship Id="rId10" Type="http://schemas.openxmlformats.org/officeDocument/2006/relationships/hyperlink" Target="https://www.supremecourt.gov/opinions/19pdf/17-1618_hfci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ederalregister.gov/documents/2020/06/19/2020-11758/nondiscrimination-in-health-and-health-education-programs-or-activities-delegation-of-authority" TargetMode="External"/><Relationship Id="rId14" Type="http://schemas.openxmlformats.org/officeDocument/2006/relationships/hyperlink" Target="https://uscode.house.gov/view.xhtml?path=/prelim@title42/chapter76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version xmlns="3c1caa5a-c780-48ca-a6c9-b482f661779f">true</Finalversion>
    <Notes xmlns="3c1caa5a-c780-48ca-a6c9-b482f661779f" xsi:nil="true"/>
    <TaxCatchAll xmlns="8e93af26-c2f7-4713-98b4-0ec2b43fceef" xsi:nil="true"/>
    <Date xmlns="3c1caa5a-c780-48ca-a6c9-b482f661779f" xsi:nil="true"/>
    <lcf76f155ced4ddcb4097134ff3c332f xmlns="3c1caa5a-c780-48ca-a6c9-b482f661779f">
      <Terms xmlns="http://schemas.microsoft.com/office/infopath/2007/PartnerControls"/>
    </lcf76f155ced4ddcb4097134ff3c332f>
    <SharedWithUsers xmlns="8e93af26-c2f7-4713-98b4-0ec2b43fceef">
      <UserInfo>
        <DisplayName>Babecki, Marie-Genevieve (HHS/OCR) (CTR)</DisplayName>
        <AccountId>142</AccountId>
        <AccountType/>
      </UserInfo>
      <UserInfo>
        <DisplayName>Ma, Jenny (HHS/OCR)</DisplayName>
        <AccountId>123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9" ma:contentTypeDescription="Create a new document." ma:contentTypeScope="" ma:versionID="65ec5334cccb9df55b93ff12f4153d26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593658056bfbe1c86c7aeba8e3d73c40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Notes" minOccurs="0"/>
                <xsd:element ref="ns2:Finalversio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Finalversion" ma:index="22" nillable="true" ma:displayName="Final version" ma:default="1" ma:format="Dropdown" ma:internalName="Finalversion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280586-07de-4c8e-830b-710be8a79782}" ma:internalName="TaxCatchAll" ma:showField="CatchAllData" ma:web="8e93af26-c2f7-4713-98b4-0ec2b43fc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A4EF1-FE7A-4892-A5AF-681109693A05}">
  <ds:schemaRefs>
    <ds:schemaRef ds:uri="http://schemas.microsoft.com/office/2006/metadata/properties"/>
    <ds:schemaRef ds:uri="http://schemas.microsoft.com/office/infopath/2007/PartnerControls"/>
    <ds:schemaRef ds:uri="3c1caa5a-c780-48ca-a6c9-b482f661779f"/>
    <ds:schemaRef ds:uri="8e93af26-c2f7-4713-98b4-0ec2b43fceef"/>
  </ds:schemaRefs>
</ds:datastoreItem>
</file>

<file path=customXml/itemProps2.xml><?xml version="1.0" encoding="utf-8"?>
<ds:datastoreItem xmlns:ds="http://schemas.openxmlformats.org/officeDocument/2006/customXml" ds:itemID="{97BC9F68-9465-49EA-950A-1B56EAE42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84173-D9F3-424A-B833-D92F96F01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 Section 1557 Fact Sheet_Polish</vt:lpstr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 Section 1557 Fact Sheet_Polish</dc:title>
  <dc:subject/>
  <dc:creator>HHS/OCR</dc:creator>
  <dc:description/>
  <cp:lastModifiedBy>Sweeney, Kate (OS/OCIO/OES)</cp:lastModifiedBy>
  <cp:revision>3</cp:revision>
  <dcterms:created xsi:type="dcterms:W3CDTF">2024-04-25T13:59:00Z</dcterms:created>
  <dcterms:modified xsi:type="dcterms:W3CDTF">2024-04-25T21:02:00Z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