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25E4D" w14:textId="7F18DB53" w:rsidR="00594DA7" w:rsidRPr="001C2E83" w:rsidRDefault="00000000" w:rsidP="001C2E83">
      <w:pPr>
        <w:pStyle w:val="Heading1"/>
      </w:pPr>
      <w:r w:rsidRPr="001C2E83">
        <w:rPr>
          <w:rFonts w:ascii="MS Mincho" w:eastAsia="MS Mincho" w:hAnsi="MS Mincho" w:cs="MS Mincho" w:hint="eastAsia"/>
        </w:rPr>
        <w:t>医療保険制度改革法（</w:t>
      </w:r>
      <w:r w:rsidRPr="001C2E83">
        <w:rPr>
          <w:rFonts w:hint="eastAsia"/>
        </w:rPr>
        <w:t>Affordable Care Act</w:t>
      </w:r>
      <w:r w:rsidRPr="001C2E83">
        <w:rPr>
          <w:rFonts w:ascii="MS Mincho" w:eastAsia="MS Mincho" w:hAnsi="MS Mincho" w:cs="MS Mincho" w:hint="eastAsia"/>
        </w:rPr>
        <w:t>）第</w:t>
      </w:r>
      <w:r w:rsidRPr="001C2E83">
        <w:rPr>
          <w:rFonts w:hint="eastAsia"/>
        </w:rPr>
        <w:t>1557</w:t>
      </w:r>
      <w:r w:rsidRPr="001C2E83">
        <w:rPr>
          <w:rFonts w:ascii="MS Mincho" w:eastAsia="MS Mincho" w:hAnsi="MS Mincho" w:cs="MS Mincho" w:hint="eastAsia"/>
        </w:rPr>
        <w:t>条を通じたヘルスケアにおける差別禁止保護の強化と公民権の促進：</w:t>
      </w:r>
      <w:r w:rsidRPr="001C2E83">
        <w:rPr>
          <w:rFonts w:hint="eastAsia"/>
        </w:rPr>
        <w:t xml:space="preserve"> </w:t>
      </w:r>
      <w:r w:rsidRPr="001C2E83">
        <w:rPr>
          <w:rFonts w:ascii="MS Mincho" w:eastAsia="MS Mincho" w:hAnsi="MS Mincho" w:cs="MS Mincho" w:hint="eastAsia"/>
        </w:rPr>
        <w:t>ファクトシート</w:t>
      </w:r>
    </w:p>
    <w:p w14:paraId="278E8B67" w14:textId="6E699E89" w:rsidR="00594DA7" w:rsidRDefault="00000000" w:rsidP="00641B2F">
      <w:pPr>
        <w:spacing w:after="240" w:line="257" w:lineRule="auto"/>
        <w:ind w:left="-14" w:right="-14"/>
        <w:rPr>
          <w:rFonts w:ascii="Times New Roman" w:eastAsia="MS PMincho" w:hAnsi="Times New Roman" w:cs="Times New Roman"/>
          <w:color w:val="000000" w:themeColor="text1"/>
          <w:sz w:val="24"/>
          <w:szCs w:val="24"/>
          <w:lang w:eastAsia="ja-JP"/>
        </w:rPr>
      </w:pPr>
      <w:r>
        <w:rPr>
          <w:rFonts w:ascii="MS Mincho" w:eastAsia="MS Mincho" w:hAnsi="MS Mincho" w:cs="MS Mincho" w:hint="eastAsia"/>
          <w:i/>
          <w:iCs/>
          <w:color w:val="000000" w:themeColor="text1"/>
          <w:sz w:val="24"/>
          <w:szCs w:val="24"/>
          <w:lang w:eastAsia="ja-JP"/>
        </w:rPr>
        <w:t>以下に示すのは、第</w:t>
      </w:r>
      <w:r>
        <w:rPr>
          <w:rFonts w:ascii="Times New Roman" w:eastAsia="Times New Roman" w:hAnsi="Times New Roman" w:cs="Times New Roman"/>
          <w:i/>
          <w:iCs/>
          <w:color w:val="000000" w:themeColor="text1"/>
          <w:sz w:val="24"/>
          <w:szCs w:val="24"/>
          <w:lang w:eastAsia="ja-JP"/>
        </w:rPr>
        <w:t>1557</w:t>
      </w:r>
      <w:r>
        <w:rPr>
          <w:rFonts w:ascii="MS Mincho" w:eastAsia="MS Mincho" w:hAnsi="MS Mincho" w:cs="MS Mincho" w:hint="eastAsia"/>
          <w:i/>
          <w:iCs/>
          <w:color w:val="000000" w:themeColor="text1"/>
          <w:sz w:val="24"/>
          <w:szCs w:val="24"/>
          <w:lang w:eastAsia="ja-JP"/>
        </w:rPr>
        <w:t>条の独立した解釈ではなく、要約された情報です。その内容の十分かつ完全な記述については最終規則そのものを確認する必要があります。</w:t>
      </w:r>
    </w:p>
    <w:p w14:paraId="248742A3" w14:textId="71DA0E2D" w:rsidR="00594DA7" w:rsidRDefault="00000000" w:rsidP="00641B2F">
      <w:pPr>
        <w:spacing w:after="240" w:line="257" w:lineRule="auto"/>
        <w:ind w:left="-14" w:right="-14"/>
        <w:rPr>
          <w:rFonts w:ascii="Times New Roman" w:eastAsia="MS PMincho" w:hAnsi="Times New Roman" w:cs="Times New Roman"/>
          <w:color w:val="1B1B1B"/>
          <w:sz w:val="24"/>
          <w:szCs w:val="24"/>
          <w:lang w:eastAsia="ja-JP"/>
        </w:rPr>
      </w:pPr>
      <w:r>
        <w:rPr>
          <w:rFonts w:ascii="Times New Roman" w:eastAsia="MS PMincho" w:hAnsi="Times New Roman" w:cs="MS UI Gothic"/>
          <w:color w:val="1B1B1B"/>
          <w:sz w:val="24"/>
          <w:szCs w:val="24"/>
          <w:lang w:eastAsia="ja-JP"/>
        </w:rPr>
        <w:t>米国保健福祉省（</w:t>
      </w:r>
      <w:r>
        <w:rPr>
          <w:rFonts w:ascii="Times New Roman" w:eastAsia="MS PMincho" w:hAnsi="Times New Roman" w:cs="MS UI Gothic"/>
          <w:color w:val="1B1B1B"/>
          <w:sz w:val="24"/>
          <w:szCs w:val="24"/>
          <w:lang w:eastAsia="ja-JP"/>
        </w:rPr>
        <w:t>HHS</w:t>
      </w:r>
      <w:r>
        <w:rPr>
          <w:rFonts w:ascii="Times New Roman" w:eastAsia="MS PMincho" w:hAnsi="Times New Roman" w:cs="MS UI Gothic"/>
          <w:color w:val="1B1B1B"/>
          <w:sz w:val="24"/>
          <w:szCs w:val="24"/>
          <w:lang w:eastAsia="ja-JP"/>
        </w:rPr>
        <w:t>）は、健康の公平性を推進し、ヘルスケアにおける格差を是正するための最終規則を発表しました。</w:t>
      </w:r>
      <w:hyperlink r:id="rId11" w:history="1">
        <w:r>
          <w:rPr>
            <w:rFonts w:ascii="Times New Roman" w:eastAsia="MS PMincho" w:hAnsi="Times New Roman" w:cs="MS UI Gothic"/>
            <w:color w:val="0563C1"/>
            <w:sz w:val="24"/>
            <w:szCs w:val="24"/>
            <w:u w:val="single"/>
            <w:lang w:eastAsia="ja-JP"/>
          </w:rPr>
          <w:t>Affordable Care Act</w:t>
        </w:r>
        <w:r>
          <w:rPr>
            <w:rFonts w:ascii="Times New Roman" w:eastAsia="MS PMincho" w:hAnsi="Times New Roman" w:cs="MS UI Gothic"/>
            <w:color w:val="0563C1"/>
            <w:sz w:val="24"/>
            <w:szCs w:val="24"/>
            <w:u w:val="single"/>
            <w:lang w:eastAsia="ja-JP"/>
          </w:rPr>
          <w:t>（</w:t>
        </w:r>
        <w:r>
          <w:rPr>
            <w:rFonts w:ascii="Times New Roman" w:eastAsia="MS PMincho" w:hAnsi="Times New Roman" w:cs="MS UI Gothic"/>
            <w:color w:val="0563C1"/>
            <w:sz w:val="24"/>
            <w:szCs w:val="24"/>
            <w:u w:val="single"/>
            <w:lang w:eastAsia="ja-JP"/>
          </w:rPr>
          <w:t>ACA</w:t>
        </w:r>
        <w:r>
          <w:rPr>
            <w:rFonts w:ascii="Times New Roman" w:eastAsia="MS PMincho" w:hAnsi="Times New Roman" w:cs="MS UI Gothic"/>
            <w:color w:val="0563C1"/>
            <w:sz w:val="24"/>
            <w:szCs w:val="24"/>
            <w:u w:val="single"/>
            <w:lang w:eastAsia="ja-JP"/>
          </w:rPr>
          <w:t>）第</w:t>
        </w:r>
        <w:r>
          <w:rPr>
            <w:rFonts w:ascii="Times New Roman" w:eastAsia="MS PMincho" w:hAnsi="Times New Roman" w:cs="MS UI Gothic"/>
            <w:color w:val="0563C1"/>
            <w:sz w:val="24"/>
            <w:szCs w:val="24"/>
            <w:u w:val="single"/>
            <w:lang w:eastAsia="ja-JP"/>
          </w:rPr>
          <w:t>1557</w:t>
        </w:r>
        <w:r>
          <w:rPr>
            <w:rFonts w:ascii="Times New Roman" w:eastAsia="MS PMincho" w:hAnsi="Times New Roman" w:cs="MS UI Gothic"/>
            <w:color w:val="0563C1"/>
            <w:sz w:val="24"/>
            <w:szCs w:val="24"/>
            <w:u w:val="single"/>
            <w:lang w:eastAsia="ja-JP"/>
          </w:rPr>
          <w:t>条</w:t>
        </w:r>
      </w:hyperlink>
      <w:r>
        <w:rPr>
          <w:rFonts w:ascii="Times New Roman" w:eastAsia="MS PMincho" w:hAnsi="Times New Roman" w:cs="MS UI Gothic"/>
          <w:color w:val="1B1B1B"/>
          <w:sz w:val="24"/>
          <w:szCs w:val="24"/>
          <w:lang w:eastAsia="ja-JP"/>
        </w:rPr>
        <w:t>は、連邦財政補助金を受ける保健プログラムや活動</w:t>
      </w:r>
      <w:r>
        <w:rPr>
          <w:rFonts w:ascii="Times New Roman" w:eastAsia="MS PMincho" w:hAnsi="Times New Roman" w:cs="MS UI Gothic" w:hint="eastAsia"/>
          <w:color w:val="1B1B1B"/>
          <w:sz w:val="24"/>
          <w:szCs w:val="24"/>
          <w:lang w:eastAsia="ja-JP"/>
        </w:rPr>
        <w:t>、</w:t>
      </w:r>
      <w:r>
        <w:rPr>
          <w:rFonts w:ascii="Times New Roman" w:eastAsia="MS PMincho" w:hAnsi="Times New Roman" w:cs="MS UI Gothic"/>
          <w:color w:val="1B1B1B"/>
          <w:sz w:val="24"/>
          <w:szCs w:val="24"/>
          <w:lang w:eastAsia="ja-JP"/>
        </w:rPr>
        <w:t>州</w:t>
      </w:r>
      <w:r>
        <w:rPr>
          <w:rFonts w:ascii="Times New Roman" w:eastAsia="MS PMincho" w:hAnsi="Times New Roman" w:cs="MS UI Gothic" w:hint="eastAsia"/>
          <w:color w:val="1B1B1B"/>
          <w:sz w:val="24"/>
          <w:szCs w:val="24"/>
          <w:lang w:eastAsia="ja-JP"/>
        </w:rPr>
        <w:t>政府による</w:t>
      </w:r>
      <w:r>
        <w:rPr>
          <w:rFonts w:ascii="Times New Roman" w:eastAsia="MS PMincho" w:hAnsi="Times New Roman" w:cs="MS UI Gothic"/>
          <w:color w:val="1B1B1B"/>
          <w:sz w:val="24"/>
          <w:szCs w:val="24"/>
          <w:lang w:eastAsia="ja-JP"/>
        </w:rPr>
        <w:t>健康保険</w:t>
      </w:r>
      <w:r>
        <w:rPr>
          <w:rFonts w:ascii="Times New Roman" w:eastAsia="MS PMincho" w:hAnsi="Times New Roman" w:cs="MS UI Gothic" w:hint="eastAsia"/>
          <w:color w:val="1B1B1B"/>
          <w:sz w:val="24"/>
          <w:szCs w:val="24"/>
          <w:lang w:eastAsia="ja-JP"/>
        </w:rPr>
        <w:t>Exchange</w:t>
      </w:r>
      <w:r>
        <w:rPr>
          <w:rFonts w:ascii="Times New Roman" w:eastAsia="MS PMincho" w:hAnsi="Times New Roman" w:cs="MS UI Gothic"/>
          <w:color w:val="1B1B1B"/>
          <w:sz w:val="24"/>
          <w:szCs w:val="24"/>
          <w:lang w:eastAsia="ja-JP"/>
        </w:rPr>
        <w:t>、</w:t>
      </w:r>
      <w:r>
        <w:rPr>
          <w:rFonts w:ascii="Times New Roman" w:eastAsia="MS PMincho" w:hAnsi="Times New Roman" w:cs="MS UI Gothic"/>
          <w:color w:val="1B1B1B"/>
          <w:sz w:val="24"/>
          <w:szCs w:val="24"/>
          <w:lang w:eastAsia="ja-JP"/>
        </w:rPr>
        <w:t>HHS</w:t>
      </w:r>
      <w:r>
        <w:rPr>
          <w:rFonts w:ascii="Times New Roman" w:eastAsia="MS PMincho" w:hAnsi="Times New Roman" w:cs="MS UI Gothic"/>
          <w:color w:val="1B1B1B"/>
          <w:sz w:val="24"/>
          <w:szCs w:val="24"/>
          <w:lang w:eastAsia="ja-JP"/>
        </w:rPr>
        <w:t>の保健プログラムや活動において、人種、肌の色、国籍、性別、年齢、障がいによる差別を禁止しており、ヘルスケアへの差別のないアクセスを確保する政府の最も強力な手段の一つです。本規則は、第</w:t>
      </w:r>
      <w:r>
        <w:rPr>
          <w:rFonts w:ascii="Times New Roman" w:eastAsia="MS PMincho" w:hAnsi="Times New Roman" w:cs="MS UI Gothic"/>
          <w:color w:val="1B1B1B"/>
          <w:sz w:val="24"/>
          <w:szCs w:val="24"/>
          <w:lang w:eastAsia="ja-JP"/>
        </w:rPr>
        <w:t>1557</w:t>
      </w:r>
      <w:r>
        <w:rPr>
          <w:rFonts w:ascii="Times New Roman" w:eastAsia="MS PMincho" w:hAnsi="Times New Roman" w:cs="MS UI Gothic"/>
          <w:color w:val="1B1B1B"/>
          <w:sz w:val="24"/>
          <w:szCs w:val="24"/>
          <w:lang w:eastAsia="ja-JP"/>
        </w:rPr>
        <w:t>条の内容を明確にし、女性、障がい者、</w:t>
      </w:r>
      <w:r>
        <w:rPr>
          <w:rFonts w:ascii="Times New Roman" w:eastAsia="MS PMincho" w:hAnsi="Times New Roman" w:cs="MS UI Gothic"/>
          <w:color w:val="1B1B1B"/>
          <w:sz w:val="24"/>
          <w:szCs w:val="24"/>
          <w:lang w:eastAsia="ja-JP"/>
        </w:rPr>
        <w:t>LGBTQI+</w:t>
      </w:r>
      <w:r>
        <w:rPr>
          <w:rFonts w:ascii="Times New Roman" w:eastAsia="MS PMincho" w:hAnsi="Times New Roman" w:cs="MS UI Gothic"/>
          <w:color w:val="1B1B1B"/>
          <w:sz w:val="24"/>
          <w:szCs w:val="24"/>
          <w:lang w:eastAsia="ja-JP"/>
        </w:rPr>
        <w:t>の人、英語力が限定される個人（</w:t>
      </w:r>
      <w:r>
        <w:rPr>
          <w:rFonts w:ascii="Times New Roman" w:eastAsia="MS PMincho" w:hAnsi="Times New Roman" w:cs="MS UI Gothic"/>
          <w:color w:val="1B1B1B"/>
          <w:sz w:val="24"/>
          <w:szCs w:val="24"/>
          <w:lang w:eastAsia="ja-JP"/>
        </w:rPr>
        <w:t>LEP</w:t>
      </w:r>
      <w:r>
        <w:rPr>
          <w:rFonts w:ascii="Times New Roman" w:eastAsia="MS PMincho" w:hAnsi="Times New Roman" w:cs="MS UI Gothic"/>
          <w:color w:val="1B1B1B"/>
          <w:sz w:val="24"/>
          <w:szCs w:val="24"/>
          <w:lang w:eastAsia="ja-JP"/>
        </w:rPr>
        <w:t>）、有色人種、年齢に関係なく、すべての人が差別なくケアを受けられるようにするものです。あなた自身または他の当事者が、人種、肌の色、国籍、性別、年齢、または障がいを理由に差別を受けたと思われる場合は、</w:t>
      </w:r>
      <w:hyperlink r:id="rId12" w:history="1">
        <w:r>
          <w:rPr>
            <w:rFonts w:ascii="Times New Roman" w:eastAsia="MS PMincho" w:hAnsi="Times New Roman" w:cs="MS UI Gothic"/>
            <w:color w:val="0563C1"/>
            <w:sz w:val="24"/>
            <w:szCs w:val="24"/>
            <w:u w:val="single"/>
            <w:lang w:eastAsia="ja-JP"/>
          </w:rPr>
          <w:t>公民権局（</w:t>
        </w:r>
        <w:r>
          <w:rPr>
            <w:rFonts w:ascii="Times New Roman" w:eastAsia="MS PMincho" w:hAnsi="Times New Roman" w:cs="MS UI Gothic"/>
            <w:color w:val="0563C1"/>
            <w:sz w:val="24"/>
            <w:szCs w:val="24"/>
            <w:u w:val="single"/>
            <w:lang w:eastAsia="ja-JP"/>
          </w:rPr>
          <w:t>OCR</w:t>
        </w:r>
        <w:r>
          <w:rPr>
            <w:rFonts w:ascii="Times New Roman" w:eastAsia="MS PMincho" w:hAnsi="Times New Roman" w:cs="MS UI Gothic"/>
            <w:color w:val="0563C1"/>
            <w:sz w:val="24"/>
            <w:szCs w:val="24"/>
            <w:u w:val="single"/>
            <w:lang w:eastAsia="ja-JP"/>
          </w:rPr>
          <w:t>）の苦情ポータル</w:t>
        </w:r>
      </w:hyperlink>
      <w:r>
        <w:rPr>
          <w:rFonts w:ascii="Times New Roman" w:eastAsia="MS PMincho" w:hAnsi="Times New Roman" w:cs="MS UI Gothic"/>
          <w:color w:val="1B1B1B"/>
          <w:sz w:val="24"/>
          <w:szCs w:val="24"/>
          <w:lang w:eastAsia="ja-JP"/>
        </w:rPr>
        <w:t>にアクセスして、オンラインで苦情を申し立ててください。</w:t>
      </w:r>
    </w:p>
    <w:p w14:paraId="46671AE6" w14:textId="7E64F0C1" w:rsidR="00594DA7" w:rsidRPr="001C2E83" w:rsidRDefault="00000000" w:rsidP="001C2E83">
      <w:pPr>
        <w:pStyle w:val="Heading2"/>
      </w:pPr>
      <w:r w:rsidRPr="001C2E83">
        <w:rPr>
          <w:rFonts w:ascii="MS Mincho" w:eastAsia="MS Mincho" w:hAnsi="MS Mincho" w:cs="MS Mincho" w:hint="eastAsia"/>
        </w:rPr>
        <w:t>最終規則の要旨</w:t>
      </w:r>
    </w:p>
    <w:p w14:paraId="4BD6D29B" w14:textId="50580E67" w:rsidR="00594DA7" w:rsidRPr="00641B2F" w:rsidRDefault="00000000" w:rsidP="00641B2F">
      <w:pPr>
        <w:pStyle w:val="Heading3"/>
      </w:pPr>
      <w:r w:rsidRPr="00641B2F">
        <w:rPr>
          <w:rFonts w:ascii="MS Mincho" w:eastAsia="MS Mincho" w:hAnsi="MS Mincho" w:cs="MS Mincho" w:hint="eastAsia"/>
        </w:rPr>
        <w:t>健</w:t>
      </w:r>
      <w:r w:rsidRPr="00641B2F">
        <w:rPr>
          <w:rFonts w:hint="eastAsia"/>
        </w:rPr>
        <w:t>康保険業者を第</w:t>
      </w:r>
      <w:r w:rsidRPr="00641B2F">
        <w:rPr>
          <w:rFonts w:hint="eastAsia"/>
        </w:rPr>
        <w:t>1557</w:t>
      </w:r>
      <w:r w:rsidRPr="00641B2F">
        <w:rPr>
          <w:rFonts w:hint="eastAsia"/>
        </w:rPr>
        <w:t>条の適用範囲に戻す（</w:t>
      </w:r>
      <w:r w:rsidRPr="00641B2F">
        <w:rPr>
          <w:rFonts w:hint="eastAsia"/>
        </w:rPr>
        <w:t>45 CFR 92.2</w:t>
      </w:r>
      <w:r w:rsidRPr="00641B2F">
        <w:rPr>
          <w:rFonts w:hint="eastAsia"/>
        </w:rPr>
        <w:t>、</w:t>
      </w:r>
      <w:r w:rsidRPr="00641B2F">
        <w:rPr>
          <w:rFonts w:hint="eastAsia"/>
        </w:rPr>
        <w:t>92.4</w:t>
      </w:r>
      <w:r w:rsidRPr="00641B2F">
        <w:rPr>
          <w:rFonts w:hint="eastAsia"/>
        </w:rPr>
        <w:t>、</w:t>
      </w:r>
      <w:r w:rsidRPr="00641B2F">
        <w:rPr>
          <w:rFonts w:hint="eastAsia"/>
        </w:rPr>
        <w:t>92.207</w:t>
      </w:r>
      <w:r w:rsidRPr="00641B2F">
        <w:rPr>
          <w:rFonts w:hint="eastAsia"/>
        </w:rPr>
        <w:t>）。</w:t>
      </w:r>
    </w:p>
    <w:p w14:paraId="0B5A5E73" w14:textId="77777777" w:rsidR="00594DA7" w:rsidRDefault="00000000">
      <w:pPr>
        <w:spacing w:after="0" w:line="257" w:lineRule="auto"/>
        <w:ind w:left="-20" w:right="-20"/>
        <w:rPr>
          <w:rFonts w:ascii="Times New Roman" w:eastAsia="MS PMincho" w:hAnsi="Times New Roman" w:cs="Times New Roman"/>
          <w:color w:val="1B1B1B"/>
          <w:sz w:val="24"/>
          <w:szCs w:val="24"/>
          <w:lang w:eastAsia="ja-JP"/>
        </w:rPr>
      </w:pPr>
      <w:r>
        <w:rPr>
          <w:rFonts w:ascii="Times New Roman" w:eastAsia="MS PMincho" w:hAnsi="Times New Roman" w:cs="MS UI Gothic"/>
          <w:color w:val="1B1B1B"/>
          <w:sz w:val="24"/>
          <w:szCs w:val="24"/>
          <w:lang w:eastAsia="ja-JP"/>
        </w:rPr>
        <w:t>本最終規則は、連邦財政補助金を受ける健康保険業者に対する第</w:t>
      </w:r>
      <w:r>
        <w:rPr>
          <w:rFonts w:ascii="Times New Roman" w:eastAsia="MS PMincho" w:hAnsi="Times New Roman" w:cs="MS UI Gothic"/>
          <w:color w:val="1B1B1B"/>
          <w:sz w:val="24"/>
          <w:szCs w:val="24"/>
          <w:lang w:eastAsia="ja-JP"/>
        </w:rPr>
        <w:t>1557</w:t>
      </w:r>
      <w:r>
        <w:rPr>
          <w:rFonts w:ascii="Times New Roman" w:eastAsia="MS PMincho" w:hAnsi="Times New Roman" w:cs="MS UI Gothic"/>
          <w:color w:val="1B1B1B"/>
          <w:sz w:val="24"/>
          <w:szCs w:val="24"/>
          <w:lang w:eastAsia="ja-JP"/>
        </w:rPr>
        <w:t>条の適用を元に戻し、強化するものです。健康保険がヘルスケアの提供において重要な役割を果たしていることを認識するため、同規則では健康保険業界に明確な差別禁止の基準を定めています。</w:t>
      </w:r>
    </w:p>
    <w:p w14:paraId="24E628F6" w14:textId="77777777" w:rsidR="00594DA7" w:rsidRDefault="00000000">
      <w:pPr>
        <w:spacing w:after="0" w:line="257" w:lineRule="auto"/>
        <w:ind w:left="-20" w:right="-20"/>
        <w:rPr>
          <w:rFonts w:ascii="Times New Roman" w:eastAsia="MS PMincho" w:hAnsi="Times New Roman" w:cs="Times New Roman"/>
          <w:color w:val="000000" w:themeColor="text1"/>
          <w:sz w:val="24"/>
          <w:szCs w:val="24"/>
          <w:lang w:eastAsia="ja-JP"/>
        </w:rPr>
      </w:pPr>
      <w:r>
        <w:rPr>
          <w:rFonts w:ascii="Times New Roman" w:eastAsia="MS PMincho" w:hAnsi="Times New Roman" w:cs="Times New Roman"/>
          <w:color w:val="000000" w:themeColor="text1"/>
          <w:sz w:val="24"/>
          <w:szCs w:val="24"/>
          <w:lang w:eastAsia="ja-JP"/>
        </w:rPr>
        <w:t xml:space="preserve"> </w:t>
      </w:r>
    </w:p>
    <w:p w14:paraId="17020328" w14:textId="14D0B885" w:rsidR="00594DA7" w:rsidRPr="00641B2F" w:rsidRDefault="00000000" w:rsidP="00641B2F">
      <w:pPr>
        <w:pStyle w:val="Heading3"/>
      </w:pPr>
      <w:r w:rsidRPr="00641B2F">
        <w:rPr>
          <w:rFonts w:hint="eastAsia"/>
        </w:rPr>
        <w:t>HHS</w:t>
      </w:r>
      <w:r w:rsidRPr="00641B2F">
        <w:rPr>
          <w:rFonts w:hint="eastAsia"/>
        </w:rPr>
        <w:t>が管理するすべての保健プログラムと活動に対し第</w:t>
      </w:r>
      <w:r w:rsidRPr="00641B2F">
        <w:rPr>
          <w:rFonts w:hint="eastAsia"/>
        </w:rPr>
        <w:t>1557</w:t>
      </w:r>
      <w:r w:rsidRPr="00641B2F">
        <w:rPr>
          <w:rFonts w:hint="eastAsia"/>
        </w:rPr>
        <w:t>条の適用を復活させる（</w:t>
      </w:r>
      <w:r w:rsidRPr="00641B2F">
        <w:rPr>
          <w:rFonts w:hint="eastAsia"/>
        </w:rPr>
        <w:t>45 CFR 92.2(a)(2)</w:t>
      </w:r>
      <w:r w:rsidRPr="00641B2F">
        <w:rPr>
          <w:rFonts w:hint="eastAsia"/>
        </w:rPr>
        <w:t>）。</w:t>
      </w:r>
    </w:p>
    <w:p w14:paraId="029611D0" w14:textId="08257961" w:rsidR="00594DA7" w:rsidRDefault="00000000" w:rsidP="00641B2F">
      <w:pPr>
        <w:spacing w:after="240" w:line="257" w:lineRule="auto"/>
        <w:ind w:left="-14" w:right="-14"/>
        <w:rPr>
          <w:rFonts w:ascii="Times New Roman" w:eastAsia="MS PMincho" w:hAnsi="Times New Roman" w:cs="Times New Roman"/>
          <w:color w:val="1B1B1B"/>
          <w:sz w:val="24"/>
          <w:szCs w:val="24"/>
          <w:lang w:eastAsia="ja-JP"/>
        </w:rPr>
      </w:pPr>
      <w:r>
        <w:rPr>
          <w:rFonts w:ascii="Times New Roman" w:eastAsia="MS PMincho" w:hAnsi="Times New Roman" w:cs="MS UI Gothic"/>
          <w:color w:val="1B1B1B"/>
          <w:sz w:val="24"/>
          <w:szCs w:val="24"/>
          <w:lang w:eastAsia="ja-JP"/>
        </w:rPr>
        <w:t>本規則は、</w:t>
      </w:r>
      <w:r>
        <w:rPr>
          <w:rFonts w:ascii="Times New Roman" w:eastAsia="MS PMincho" w:hAnsi="Times New Roman" w:cs="MS UI Gothic"/>
          <w:color w:val="1B1B1B"/>
          <w:sz w:val="24"/>
          <w:szCs w:val="24"/>
          <w:lang w:eastAsia="ja-JP"/>
        </w:rPr>
        <w:t>HHS</w:t>
      </w:r>
      <w:r>
        <w:rPr>
          <w:rFonts w:ascii="Times New Roman" w:eastAsia="MS PMincho" w:hAnsi="Times New Roman" w:cs="MS UI Gothic"/>
          <w:color w:val="1B1B1B"/>
          <w:sz w:val="24"/>
          <w:szCs w:val="24"/>
          <w:lang w:eastAsia="ja-JP"/>
        </w:rPr>
        <w:t>のすべての保健プログラムと活動に差別禁止の基準を適用します。</w:t>
      </w:r>
      <w:r>
        <w:rPr>
          <w:rFonts w:ascii="Times New Roman" w:eastAsia="MS PMincho" w:hAnsi="Times New Roman" w:cs="MS UI Gothic"/>
          <w:color w:val="1B1B1B"/>
          <w:sz w:val="24"/>
          <w:szCs w:val="24"/>
          <w:lang w:eastAsia="ja-JP"/>
        </w:rPr>
        <w:t>2020</w:t>
      </w:r>
      <w:r>
        <w:rPr>
          <w:rFonts w:ascii="Times New Roman" w:eastAsia="MS PMincho" w:hAnsi="Times New Roman" w:cs="MS UI Gothic"/>
          <w:color w:val="1B1B1B"/>
          <w:sz w:val="24"/>
          <w:szCs w:val="24"/>
          <w:lang w:eastAsia="ja-JP"/>
        </w:rPr>
        <w:t>年の最終規則（</w:t>
      </w:r>
      <w:hyperlink r:id="rId13" w:history="1">
        <w:r>
          <w:rPr>
            <w:rFonts w:ascii="Times New Roman" w:eastAsia="MS PMincho" w:hAnsi="Times New Roman" w:cs="MS UI Gothic"/>
            <w:color w:val="0563C1"/>
            <w:sz w:val="24"/>
            <w:szCs w:val="24"/>
            <w:u w:val="single"/>
            <w:lang w:eastAsia="ja-JP"/>
          </w:rPr>
          <w:t>85 Fed. Reg. 37160</w:t>
        </w:r>
      </w:hyperlink>
      <w:r>
        <w:rPr>
          <w:rFonts w:ascii="Times New Roman" w:eastAsia="MS PMincho" w:hAnsi="Times New Roman" w:cs="MS UI Gothic"/>
          <w:color w:val="1B1B1B"/>
          <w:sz w:val="24"/>
          <w:szCs w:val="24"/>
          <w:lang w:eastAsia="ja-JP"/>
        </w:rPr>
        <w:t>（</w:t>
      </w:r>
      <w:r>
        <w:rPr>
          <w:rFonts w:ascii="Times New Roman" w:eastAsia="MS PMincho" w:hAnsi="Times New Roman" w:cs="MS UI Gothic"/>
          <w:color w:val="1B1B1B"/>
          <w:sz w:val="24"/>
          <w:szCs w:val="24"/>
          <w:lang w:eastAsia="ja-JP"/>
        </w:rPr>
        <w:t>2020</w:t>
      </w:r>
      <w:r>
        <w:rPr>
          <w:rFonts w:ascii="Times New Roman" w:eastAsia="MS PMincho" w:hAnsi="Times New Roman" w:cs="MS UI Gothic"/>
          <w:color w:val="1B1B1B"/>
          <w:sz w:val="24"/>
          <w:szCs w:val="24"/>
          <w:lang w:eastAsia="ja-JP"/>
        </w:rPr>
        <w:t>年</w:t>
      </w:r>
      <w:r>
        <w:rPr>
          <w:rFonts w:ascii="Times New Roman" w:eastAsia="MS PMincho" w:hAnsi="Times New Roman" w:cs="MS UI Gothic"/>
          <w:color w:val="1B1B1B"/>
          <w:sz w:val="24"/>
          <w:szCs w:val="24"/>
          <w:lang w:eastAsia="ja-JP"/>
        </w:rPr>
        <w:t>6</w:t>
      </w:r>
      <w:r>
        <w:rPr>
          <w:rFonts w:ascii="Times New Roman" w:eastAsia="MS PMincho" w:hAnsi="Times New Roman" w:cs="MS UI Gothic"/>
          <w:color w:val="1B1B1B"/>
          <w:sz w:val="24"/>
          <w:szCs w:val="24"/>
          <w:lang w:eastAsia="ja-JP"/>
        </w:rPr>
        <w:t>月</w:t>
      </w:r>
      <w:r>
        <w:rPr>
          <w:rFonts w:ascii="Times New Roman" w:eastAsia="MS PMincho" w:hAnsi="Times New Roman" w:cs="MS UI Gothic"/>
          <w:color w:val="1B1B1B"/>
          <w:sz w:val="24"/>
          <w:szCs w:val="24"/>
          <w:lang w:eastAsia="ja-JP"/>
        </w:rPr>
        <w:t>19</w:t>
      </w:r>
      <w:r>
        <w:rPr>
          <w:rFonts w:ascii="Times New Roman" w:eastAsia="MS PMincho" w:hAnsi="Times New Roman" w:cs="MS UI Gothic"/>
          <w:color w:val="1B1B1B"/>
          <w:sz w:val="24"/>
          <w:szCs w:val="24"/>
          <w:lang w:eastAsia="ja-JP"/>
        </w:rPr>
        <w:t>日））の制定により、第</w:t>
      </w:r>
      <w:r>
        <w:rPr>
          <w:rFonts w:ascii="Times New Roman" w:eastAsia="MS PMincho" w:hAnsi="Times New Roman" w:cs="MS UI Gothic"/>
          <w:color w:val="1B1B1B"/>
          <w:sz w:val="24"/>
          <w:szCs w:val="24"/>
          <w:lang w:eastAsia="ja-JP"/>
        </w:rPr>
        <w:t>1557</w:t>
      </w:r>
      <w:r>
        <w:rPr>
          <w:rFonts w:ascii="Times New Roman" w:eastAsia="MS PMincho" w:hAnsi="Times New Roman" w:cs="MS UI Gothic"/>
          <w:color w:val="1B1B1B"/>
          <w:sz w:val="24"/>
          <w:szCs w:val="24"/>
          <w:lang w:eastAsia="ja-JP"/>
        </w:rPr>
        <w:t>条の差別禁止要件の範囲は限定されました。</w:t>
      </w:r>
      <w:r>
        <w:rPr>
          <w:rFonts w:ascii="Times New Roman" w:eastAsia="MS PMincho" w:hAnsi="Times New Roman" w:cs="MS UI Gothic"/>
          <w:color w:val="1B1B1B"/>
          <w:sz w:val="24"/>
          <w:szCs w:val="24"/>
          <w:lang w:eastAsia="ja-JP"/>
        </w:rPr>
        <w:t>HHS</w:t>
      </w:r>
      <w:r>
        <w:rPr>
          <w:rFonts w:ascii="Times New Roman" w:eastAsia="MS PMincho" w:hAnsi="Times New Roman" w:cs="MS UI Gothic"/>
          <w:color w:val="1B1B1B"/>
          <w:sz w:val="24"/>
          <w:szCs w:val="24"/>
          <w:lang w:eastAsia="ja-JP"/>
        </w:rPr>
        <w:t>は、第</w:t>
      </w:r>
      <w:r>
        <w:rPr>
          <w:rFonts w:ascii="Times New Roman" w:eastAsia="MS PMincho" w:hAnsi="Times New Roman" w:cs="MS UI Gothic"/>
          <w:color w:val="1B1B1B"/>
          <w:sz w:val="24"/>
          <w:szCs w:val="24"/>
          <w:lang w:eastAsia="ja-JP"/>
        </w:rPr>
        <w:t>1557</w:t>
      </w:r>
      <w:r>
        <w:rPr>
          <w:rFonts w:ascii="Times New Roman" w:eastAsia="MS PMincho" w:hAnsi="Times New Roman" w:cs="MS UI Gothic"/>
          <w:color w:val="1B1B1B"/>
          <w:sz w:val="24"/>
          <w:szCs w:val="24"/>
          <w:lang w:eastAsia="ja-JP"/>
        </w:rPr>
        <w:t>条を、同省が管理するすべての保健プログラムと活動を対象とするよう理解することが、当法律の最善の解釈であり、米国インディアン衛生局、メディケア・メディケイド・サービスセンター、米国国立衛生研究所、およびそれらに限定されない</w:t>
      </w:r>
      <w:r>
        <w:rPr>
          <w:rFonts w:ascii="Times New Roman" w:eastAsia="MS PMincho" w:hAnsi="Times New Roman" w:cs="MS UI Gothic"/>
          <w:color w:val="1B1B1B"/>
          <w:sz w:val="24"/>
          <w:szCs w:val="24"/>
          <w:lang w:eastAsia="ja-JP"/>
        </w:rPr>
        <w:t>HHS</w:t>
      </w:r>
      <w:r>
        <w:rPr>
          <w:rFonts w:ascii="Times New Roman" w:eastAsia="MS PMincho" w:hAnsi="Times New Roman" w:cs="MS UI Gothic"/>
          <w:color w:val="1B1B1B"/>
          <w:sz w:val="24"/>
          <w:szCs w:val="24"/>
          <w:lang w:eastAsia="ja-JP"/>
        </w:rPr>
        <w:t>の広範な保健プログラムと活動全般において、より多くの人々を差別から守ることになると考えています。</w:t>
      </w:r>
    </w:p>
    <w:p w14:paraId="00A65439" w14:textId="5575E195" w:rsidR="00594DA7" w:rsidRPr="00641B2F" w:rsidRDefault="00000000" w:rsidP="00641B2F">
      <w:pPr>
        <w:pStyle w:val="Heading3"/>
      </w:pPr>
      <w:r w:rsidRPr="00641B2F">
        <w:rPr>
          <w:rFonts w:hint="eastAsia"/>
        </w:rPr>
        <w:t>LGBTQI+</w:t>
      </w:r>
      <w:r w:rsidRPr="00641B2F">
        <w:rPr>
          <w:rFonts w:hint="eastAsia"/>
        </w:rPr>
        <w:t>患者を差別から保護し、第</w:t>
      </w:r>
      <w:r w:rsidRPr="00641B2F">
        <w:rPr>
          <w:rFonts w:hint="eastAsia"/>
        </w:rPr>
        <w:t>1557</w:t>
      </w:r>
      <w:r w:rsidRPr="00641B2F">
        <w:rPr>
          <w:rFonts w:hint="eastAsia"/>
        </w:rPr>
        <w:t>条の性差別禁止を明確化する（</w:t>
      </w:r>
      <w:r w:rsidRPr="00641B2F">
        <w:rPr>
          <w:rFonts w:hint="eastAsia"/>
        </w:rPr>
        <w:t>45 CFR 92.101, 92.206</w:t>
      </w:r>
      <w:r w:rsidRPr="00641B2F">
        <w:rPr>
          <w:rFonts w:hint="eastAsia"/>
        </w:rPr>
        <w:t>）。</w:t>
      </w:r>
    </w:p>
    <w:p w14:paraId="1228876F" w14:textId="433C8A6B" w:rsidR="00594DA7" w:rsidRDefault="00000000" w:rsidP="00641B2F">
      <w:pPr>
        <w:spacing w:after="240" w:line="257" w:lineRule="auto"/>
        <w:ind w:left="-14" w:right="-14"/>
        <w:rPr>
          <w:rFonts w:ascii="Times New Roman" w:eastAsia="MS PMincho" w:hAnsi="Times New Roman" w:cs="Times New Roman"/>
          <w:color w:val="1B1B1B"/>
          <w:sz w:val="24"/>
          <w:szCs w:val="24"/>
          <w:lang w:eastAsia="ja-JP"/>
        </w:rPr>
      </w:pPr>
      <w:r>
        <w:rPr>
          <w:rFonts w:ascii="Times New Roman" w:eastAsia="MS PMincho" w:hAnsi="Times New Roman" w:cs="MS UI Gothic"/>
          <w:color w:val="1B1B1B"/>
          <w:sz w:val="24"/>
          <w:szCs w:val="24"/>
          <w:lang w:eastAsia="ja-JP"/>
        </w:rPr>
        <w:lastRenderedPageBreak/>
        <w:t>最終規則では、性差別に対する保護には性的指向および性自認に基づく差別に対する保護も含まれることを断言しており、米国連邦最高裁の判例である</w:t>
      </w:r>
      <w:hyperlink r:id="rId14" w:history="1">
        <w:r>
          <w:rPr>
            <w:rFonts w:ascii="Times New Roman" w:eastAsia="MS PMincho" w:hAnsi="Times New Roman" w:cs="MS UI Gothic"/>
            <w:i/>
            <w:iCs/>
            <w:color w:val="0563C1"/>
            <w:sz w:val="24"/>
            <w:szCs w:val="24"/>
            <w:u w:val="single"/>
            <w:lang w:eastAsia="ja-JP"/>
          </w:rPr>
          <w:t>Bostock v. Clayton County</w:t>
        </w:r>
        <w:r>
          <w:rPr>
            <w:rFonts w:ascii="Times New Roman" w:eastAsia="MS PMincho" w:hAnsi="Times New Roman" w:cs="MS UI Gothic"/>
            <w:color w:val="0563C1"/>
            <w:sz w:val="24"/>
            <w:szCs w:val="24"/>
            <w:u w:val="single"/>
            <w:lang w:eastAsia="ja-JP"/>
          </w:rPr>
          <w:t xml:space="preserve"> - PDF</w:t>
        </w:r>
      </w:hyperlink>
      <w:r>
        <w:rPr>
          <w:rFonts w:ascii="Times New Roman" w:eastAsia="MS PMincho" w:hAnsi="Times New Roman" w:cs="MS UI Gothic"/>
          <w:color w:val="1B1B1B"/>
          <w:sz w:val="24"/>
          <w:szCs w:val="24"/>
          <w:lang w:eastAsia="ja-JP"/>
        </w:rPr>
        <w:t>とも方向性が一致しています。</w:t>
      </w:r>
    </w:p>
    <w:p w14:paraId="36C49083" w14:textId="71C7BC26" w:rsidR="00594DA7" w:rsidRDefault="00000000" w:rsidP="00641B2F">
      <w:pPr>
        <w:spacing w:after="240" w:line="257" w:lineRule="auto"/>
        <w:ind w:left="-14" w:right="-14"/>
        <w:rPr>
          <w:rFonts w:ascii="Times New Roman" w:eastAsia="MS PMincho" w:hAnsi="Times New Roman" w:cs="Times New Roman"/>
          <w:color w:val="1B1B1B"/>
          <w:sz w:val="24"/>
          <w:szCs w:val="24"/>
          <w:lang w:eastAsia="ja-JP"/>
        </w:rPr>
      </w:pPr>
      <w:r>
        <w:rPr>
          <w:rFonts w:ascii="Times New Roman" w:eastAsia="MS PMincho" w:hAnsi="Times New Roman" w:cs="MS UI Gothic"/>
          <w:color w:val="1B1B1B"/>
          <w:sz w:val="24"/>
          <w:szCs w:val="24"/>
          <w:lang w:eastAsia="ja-JP"/>
        </w:rPr>
        <w:t>また最終規則では、性差別には、性の固定観念、インターセックスを含む性の特徴、妊娠またはそれに関連する状態に基づく差別が含まれることを明確にしています。</w:t>
      </w:r>
    </w:p>
    <w:p w14:paraId="53DD0EA5" w14:textId="66345012" w:rsidR="00594DA7" w:rsidRPr="00641B2F" w:rsidRDefault="00000000" w:rsidP="00641B2F">
      <w:pPr>
        <w:pStyle w:val="Heading3"/>
      </w:pPr>
      <w:r w:rsidRPr="00641B2F">
        <w:rPr>
          <w:rFonts w:hint="eastAsia"/>
        </w:rPr>
        <w:t>プロバイダー、保険業者、</w:t>
      </w:r>
      <w:r w:rsidRPr="00641B2F">
        <w:rPr>
          <w:rFonts w:hint="eastAsia"/>
        </w:rPr>
        <w:t>HHS</w:t>
      </w:r>
      <w:r w:rsidRPr="00641B2F">
        <w:rPr>
          <w:rFonts w:hint="eastAsia"/>
        </w:rPr>
        <w:t>が管理するプログラムなど、本規則の対象者が言語支援のサービスが利用できることを通知するよう求める（</w:t>
      </w:r>
      <w:r w:rsidRPr="00641B2F">
        <w:rPr>
          <w:rFonts w:hint="eastAsia"/>
        </w:rPr>
        <w:t>45 CFR 92.11</w:t>
      </w:r>
      <w:r w:rsidRPr="00641B2F">
        <w:rPr>
          <w:rFonts w:hint="eastAsia"/>
        </w:rPr>
        <w:t>）。</w:t>
      </w:r>
    </w:p>
    <w:p w14:paraId="0AEABF6D" w14:textId="5A188810" w:rsidR="00594DA7" w:rsidRDefault="00000000" w:rsidP="00641B2F">
      <w:pPr>
        <w:spacing w:after="240" w:line="257" w:lineRule="auto"/>
        <w:ind w:left="-14" w:right="-14"/>
        <w:rPr>
          <w:rFonts w:ascii="Times New Roman" w:eastAsia="MS PMincho" w:hAnsi="Times New Roman" w:cs="Times New Roman"/>
          <w:color w:val="1B1B1B"/>
          <w:sz w:val="24"/>
          <w:szCs w:val="24"/>
          <w:lang w:eastAsia="ja-JP"/>
        </w:rPr>
      </w:pPr>
      <w:r>
        <w:rPr>
          <w:rFonts w:ascii="Times New Roman" w:eastAsia="MS PMincho" w:hAnsi="Times New Roman" w:cs="MS UI Gothic"/>
          <w:color w:val="1B1B1B"/>
          <w:sz w:val="24"/>
          <w:szCs w:val="24"/>
          <w:lang w:eastAsia="ja-JP"/>
        </w:rPr>
        <w:t>最終規則では、連邦財政補助金受領者、</w:t>
      </w:r>
      <w:r>
        <w:rPr>
          <w:rFonts w:ascii="Times New Roman" w:eastAsia="MS PMincho" w:hAnsi="Times New Roman" w:cs="MS UI Gothic"/>
          <w:color w:val="1B1B1B"/>
          <w:sz w:val="24"/>
          <w:szCs w:val="24"/>
          <w:lang w:eastAsia="ja-JP"/>
        </w:rPr>
        <w:t>HHS</w:t>
      </w:r>
      <w:r>
        <w:rPr>
          <w:rFonts w:ascii="Times New Roman" w:eastAsia="MS PMincho" w:hAnsi="Times New Roman" w:cs="MS UI Gothic"/>
          <w:color w:val="1B1B1B"/>
          <w:sz w:val="24"/>
          <w:szCs w:val="24"/>
          <w:lang w:eastAsia="ja-JP"/>
        </w:rPr>
        <w:t>が運営する保健プログラムおよび活動、州および連邦政府が運営する</w:t>
      </w:r>
      <w:r>
        <w:rPr>
          <w:rFonts w:ascii="Times New Roman" w:eastAsia="MS PMincho" w:hAnsi="Times New Roman" w:cs="MS UI Gothic"/>
          <w:color w:val="1B1B1B"/>
          <w:sz w:val="24"/>
          <w:szCs w:val="24"/>
          <w:lang w:eastAsia="ja-JP"/>
        </w:rPr>
        <w:t>Exchange</w:t>
      </w:r>
      <w:r>
        <w:rPr>
          <w:rFonts w:ascii="Times New Roman" w:eastAsia="MS PMincho" w:hAnsi="Times New Roman" w:cs="MS UI Gothic"/>
          <w:color w:val="1B1B1B"/>
          <w:sz w:val="24"/>
          <w:szCs w:val="24"/>
          <w:lang w:eastAsia="ja-JP"/>
        </w:rPr>
        <w:t>に対し、必要に応じて言語支援サービスや補助具が利用できることを通知するよう求めています。この通知は、英語、および、サービスを提供する州において英語力が限定される人々（</w:t>
      </w:r>
      <w:r>
        <w:rPr>
          <w:rFonts w:ascii="Times New Roman" w:eastAsia="MS PMincho" w:hAnsi="Times New Roman" w:cs="MS UI Gothic"/>
          <w:color w:val="1B1B1B"/>
          <w:sz w:val="24"/>
          <w:szCs w:val="24"/>
          <w:lang w:eastAsia="ja-JP"/>
        </w:rPr>
        <w:t>LEP</w:t>
      </w:r>
      <w:r>
        <w:rPr>
          <w:rFonts w:ascii="Times New Roman" w:eastAsia="MS PMincho" w:hAnsi="Times New Roman" w:cs="MS UI Gothic"/>
          <w:color w:val="1B1B1B"/>
          <w:sz w:val="24"/>
          <w:szCs w:val="24"/>
          <w:lang w:eastAsia="ja-JP"/>
        </w:rPr>
        <w:t>）が話す最も一般的な</w:t>
      </w:r>
      <w:r>
        <w:rPr>
          <w:rFonts w:ascii="Times New Roman" w:eastAsia="MS PMincho" w:hAnsi="Times New Roman" w:cs="MS UI Gothic"/>
          <w:color w:val="1B1B1B"/>
          <w:sz w:val="24"/>
          <w:szCs w:val="24"/>
          <w:lang w:eastAsia="ja-JP"/>
        </w:rPr>
        <w:t>15</w:t>
      </w:r>
      <w:r>
        <w:rPr>
          <w:rFonts w:ascii="Times New Roman" w:eastAsia="MS PMincho" w:hAnsi="Times New Roman" w:cs="MS UI Gothic"/>
          <w:color w:val="1B1B1B"/>
          <w:sz w:val="24"/>
          <w:szCs w:val="24"/>
          <w:lang w:eastAsia="ja-JP"/>
        </w:rPr>
        <w:t>以上の言語で提供されなければなりません。コミュニケーションの効果を高めるために、</w:t>
      </w:r>
      <w:r>
        <w:rPr>
          <w:rFonts w:ascii="Times New Roman" w:eastAsia="MS PMincho" w:hAnsi="Times New Roman" w:cs="MS UI Gothic"/>
          <w:color w:val="000000"/>
          <w:sz w:val="24"/>
          <w:szCs w:val="24"/>
          <w:lang w:eastAsia="ja-JP"/>
        </w:rPr>
        <w:t>これらの通知は、障がいのない個人と同様に、障がいのある個人にも効果的に伝える必要があります。</w:t>
      </w:r>
      <w:r>
        <w:rPr>
          <w:rFonts w:ascii="Times New Roman" w:eastAsia="MS PMincho" w:hAnsi="Times New Roman" w:cs="MS UI Gothic"/>
          <w:color w:val="1B1B1B"/>
          <w:sz w:val="24"/>
          <w:szCs w:val="24"/>
          <w:lang w:eastAsia="ja-JP"/>
        </w:rPr>
        <w:t>対象事業体は、これらの通知を、物理的にもウェブサイト上でも目につきやすい場所で提供し、要求に応じて利用者が入手できるようにし、特定のコミュニケーションリストにも記載することが義務付けられています。</w:t>
      </w:r>
    </w:p>
    <w:p w14:paraId="24FA5573" w14:textId="7D807DE6" w:rsidR="00594DA7" w:rsidRPr="00641B2F" w:rsidRDefault="00000000" w:rsidP="00641B2F">
      <w:pPr>
        <w:pStyle w:val="Heading3"/>
      </w:pPr>
      <w:r w:rsidRPr="00641B2F">
        <w:rPr>
          <w:rFonts w:hint="eastAsia"/>
        </w:rPr>
        <w:t>本規則の対象者が患者ケアの意思決定支援ツールを使用する際、差別を特定し、軽減するための措置を講じることを求める（</w:t>
      </w:r>
      <w:r w:rsidRPr="00641B2F">
        <w:rPr>
          <w:rFonts w:hint="eastAsia"/>
        </w:rPr>
        <w:t>45 CFR 92.210</w:t>
      </w:r>
      <w:r w:rsidRPr="00641B2F">
        <w:rPr>
          <w:rFonts w:hint="eastAsia"/>
        </w:rPr>
        <w:t>）。</w:t>
      </w:r>
    </w:p>
    <w:p w14:paraId="2CB528A8" w14:textId="1F799BC0" w:rsidR="00594DA7" w:rsidRPr="00641B2F" w:rsidRDefault="00000000" w:rsidP="00641B2F">
      <w:pPr>
        <w:spacing w:after="240" w:line="257" w:lineRule="auto"/>
        <w:ind w:left="-14" w:right="-14"/>
        <w:rPr>
          <w:rFonts w:ascii="Times New Roman" w:eastAsia="MS PMincho" w:hAnsi="Times New Roman" w:cs="Times New Roman"/>
          <w:color w:val="000000" w:themeColor="text1"/>
          <w:sz w:val="24"/>
          <w:szCs w:val="24"/>
          <w:lang w:eastAsia="ja-JP"/>
        </w:rPr>
      </w:pPr>
      <w:r>
        <w:rPr>
          <w:rFonts w:ascii="Times New Roman" w:eastAsia="MS PMincho" w:hAnsi="Times New Roman" w:cs="MS UI Gothic"/>
          <w:color w:val="000000"/>
          <w:sz w:val="24"/>
          <w:szCs w:val="24"/>
          <w:lang w:val="en" w:eastAsia="ja-JP"/>
        </w:rPr>
        <w:t>最終規則では、連邦財政補助金受領者、</w:t>
      </w:r>
      <w:r>
        <w:rPr>
          <w:rFonts w:ascii="Times New Roman" w:eastAsia="MS PMincho" w:hAnsi="Times New Roman" w:cs="MS UI Gothic"/>
          <w:color w:val="000000"/>
          <w:sz w:val="24"/>
          <w:szCs w:val="24"/>
          <w:lang w:val="en" w:eastAsia="ja-JP"/>
        </w:rPr>
        <w:t>HHS</w:t>
      </w:r>
      <w:r>
        <w:rPr>
          <w:rFonts w:ascii="Times New Roman" w:eastAsia="MS PMincho" w:hAnsi="Times New Roman" w:cs="MS UI Gothic"/>
          <w:color w:val="000000"/>
          <w:sz w:val="24"/>
          <w:szCs w:val="24"/>
          <w:lang w:val="en" w:eastAsia="ja-JP"/>
        </w:rPr>
        <w:t>が管理する保健プログラムおよび活動、ならびに州</w:t>
      </w:r>
      <w:r>
        <w:rPr>
          <w:rFonts w:ascii="Times New Roman" w:eastAsia="MS PMincho" w:hAnsi="Times New Roman" w:cs="MS UI Gothic"/>
          <w:color w:val="1B1B1B"/>
          <w:sz w:val="24"/>
          <w:szCs w:val="24"/>
          <w:lang w:val="en" w:eastAsia="ja-JP"/>
        </w:rPr>
        <w:t>および連邦政府が運営する</w:t>
      </w:r>
      <w:r>
        <w:rPr>
          <w:rFonts w:ascii="Times New Roman" w:eastAsia="MS PMincho" w:hAnsi="Times New Roman" w:cs="MS UI Gothic"/>
          <w:color w:val="000000"/>
          <w:sz w:val="24"/>
          <w:szCs w:val="24"/>
          <w:lang w:val="en" w:eastAsia="ja-JP"/>
        </w:rPr>
        <w:t>Exchange</w:t>
      </w:r>
      <w:r>
        <w:rPr>
          <w:rFonts w:ascii="Times New Roman" w:eastAsia="MS PMincho" w:hAnsi="Times New Roman" w:cs="MS UI Gothic"/>
          <w:color w:val="000000"/>
          <w:sz w:val="24"/>
          <w:szCs w:val="24"/>
          <w:lang w:val="en" w:eastAsia="ja-JP"/>
        </w:rPr>
        <w:t>は、患者ケア意思決定支援ツール（自動および非自動的なツール、メカニズム、方法、技術を含む）の使用にあたり、いかなる個人に対しても、人種、肌の色、国籍、性別、年齢、障がいを理由に差別してはならない、としています。本規定は、そのようなツールの使用の妨げとなることを意図したものではありません。健康格差を是正するテクノロジーの役割と、ケアへのアクセスの向上との間でバランスをとりながら、患者のケアにおける差別を</w:t>
      </w:r>
      <w:r>
        <w:rPr>
          <w:rFonts w:ascii="Times New Roman" w:eastAsia="MS PMincho" w:hAnsi="Times New Roman" w:cs="MS UI Gothic" w:hint="eastAsia"/>
          <w:color w:val="000000"/>
          <w:sz w:val="24"/>
          <w:szCs w:val="24"/>
          <w:lang w:val="en" w:eastAsia="ja-JP"/>
        </w:rPr>
        <w:t>生まない</w:t>
      </w:r>
      <w:r>
        <w:rPr>
          <w:rFonts w:ascii="Times New Roman" w:eastAsia="MS PMincho" w:hAnsi="Times New Roman" w:cs="MS UI Gothic"/>
          <w:color w:val="000000"/>
          <w:sz w:val="24"/>
          <w:szCs w:val="24"/>
          <w:lang w:val="en" w:eastAsia="ja-JP"/>
        </w:rPr>
        <w:t>ツールとなるよう努めています。最終規則では、対象者は人種、肌の色、国籍、性別、年齢、障がいを測定する</w:t>
      </w:r>
      <w:r>
        <w:rPr>
          <w:rFonts w:ascii="Times New Roman" w:eastAsia="MS PMincho" w:hAnsi="Times New Roman" w:cs="MS UI Gothic" w:hint="eastAsia"/>
          <w:color w:val="000000"/>
          <w:sz w:val="24"/>
          <w:szCs w:val="24"/>
          <w:lang w:val="en" w:eastAsia="ja-JP"/>
        </w:rPr>
        <w:t>入力変数や要因を使用した</w:t>
      </w:r>
      <w:r>
        <w:rPr>
          <w:rFonts w:ascii="Times New Roman" w:eastAsia="MS PMincho" w:hAnsi="Times New Roman" w:cs="MS UI Gothic"/>
          <w:color w:val="000000"/>
          <w:sz w:val="24"/>
          <w:szCs w:val="24"/>
          <w:lang w:val="en" w:eastAsia="ja-JP"/>
        </w:rPr>
        <w:t>患者ケアの意思決定支援ツールを特定</w:t>
      </w:r>
      <w:r>
        <w:rPr>
          <w:rFonts w:ascii="Times New Roman" w:eastAsia="MS PMincho" w:hAnsi="Times New Roman" w:cs="MS UI Gothic" w:hint="eastAsia"/>
          <w:color w:val="000000"/>
          <w:sz w:val="24"/>
          <w:szCs w:val="24"/>
          <w:lang w:val="en" w:eastAsia="ja-JP"/>
        </w:rPr>
        <w:t>するため、合理的な努力を行い</w:t>
      </w:r>
      <w:r>
        <w:rPr>
          <w:rFonts w:ascii="Times New Roman" w:eastAsia="MS PMincho" w:hAnsi="Times New Roman" w:cs="MS UI Gothic"/>
          <w:color w:val="000000"/>
          <w:sz w:val="24"/>
          <w:szCs w:val="24"/>
          <w:lang w:val="en" w:eastAsia="ja-JP"/>
        </w:rPr>
        <w:t>、</w:t>
      </w:r>
      <w:r>
        <w:rPr>
          <w:rFonts w:ascii="Times New Roman" w:eastAsia="MS PMincho" w:hAnsi="Times New Roman" w:cs="MS UI Gothic" w:hint="eastAsia"/>
          <w:color w:val="000000"/>
          <w:sz w:val="24"/>
          <w:szCs w:val="24"/>
          <w:lang w:val="en" w:eastAsia="ja-JP"/>
        </w:rPr>
        <w:t>また</w:t>
      </w:r>
      <w:r>
        <w:rPr>
          <w:rFonts w:ascii="Times New Roman" w:eastAsia="MS PMincho" w:hAnsi="Times New Roman" w:cs="MS UI Gothic"/>
          <w:color w:val="000000"/>
          <w:sz w:val="24"/>
          <w:szCs w:val="24"/>
          <w:lang w:val="en" w:eastAsia="ja-JP"/>
        </w:rPr>
        <w:t>そうしたツールを使用することで生じる可能性のある差別のリスクを軽減するため、合理的な努力を行うよう求めています。</w:t>
      </w:r>
    </w:p>
    <w:p w14:paraId="48FDE85B" w14:textId="6445DA65" w:rsidR="00594DA7" w:rsidRPr="00641B2F" w:rsidRDefault="00000000" w:rsidP="00641B2F">
      <w:pPr>
        <w:pStyle w:val="Heading3"/>
      </w:pPr>
      <w:r w:rsidRPr="00641B2F">
        <w:rPr>
          <w:rFonts w:hint="eastAsia"/>
        </w:rPr>
        <w:t>第</w:t>
      </w:r>
      <w:r w:rsidRPr="00641B2F">
        <w:rPr>
          <w:rFonts w:hint="eastAsia"/>
        </w:rPr>
        <w:t>1557</w:t>
      </w:r>
      <w:r w:rsidRPr="00641B2F">
        <w:rPr>
          <w:rFonts w:hint="eastAsia"/>
        </w:rPr>
        <w:t>条に関する方針および従業員研修の実施を本規則の対象者に求める（</w:t>
      </w:r>
      <w:r w:rsidRPr="00641B2F">
        <w:rPr>
          <w:rFonts w:hint="eastAsia"/>
        </w:rPr>
        <w:t>45 CFR 92.8-92.9</w:t>
      </w:r>
      <w:r w:rsidRPr="00641B2F">
        <w:rPr>
          <w:rFonts w:hint="eastAsia"/>
        </w:rPr>
        <w:t>）。</w:t>
      </w:r>
    </w:p>
    <w:p w14:paraId="28DC89A0" w14:textId="78241CBB" w:rsidR="00594DA7" w:rsidRPr="00641B2F" w:rsidRDefault="00000000" w:rsidP="00641B2F">
      <w:pPr>
        <w:spacing w:after="240" w:line="257" w:lineRule="auto"/>
        <w:ind w:left="-14" w:right="-14"/>
        <w:rPr>
          <w:rFonts w:ascii="Times New Roman" w:eastAsia="MS PMincho" w:hAnsi="Times New Roman" w:cs="Times New Roman"/>
          <w:color w:val="1B1B1B"/>
          <w:sz w:val="24"/>
          <w:szCs w:val="24"/>
          <w:lang w:eastAsia="ja-JP"/>
        </w:rPr>
      </w:pPr>
      <w:r>
        <w:rPr>
          <w:rFonts w:ascii="Times New Roman" w:eastAsia="MS PMincho" w:hAnsi="Times New Roman" w:cs="MS UI Gothic"/>
          <w:color w:val="1B1B1B"/>
          <w:sz w:val="24"/>
          <w:szCs w:val="24"/>
          <w:lang w:eastAsia="ja-JP"/>
        </w:rPr>
        <w:t>最終規則は、連邦財政補助金受領者、</w:t>
      </w:r>
      <w:r>
        <w:rPr>
          <w:rFonts w:ascii="Times New Roman" w:eastAsia="MS PMincho" w:hAnsi="Times New Roman" w:cs="MS UI Gothic"/>
          <w:color w:val="1B1B1B"/>
          <w:sz w:val="24"/>
          <w:szCs w:val="24"/>
          <w:lang w:eastAsia="ja-JP"/>
        </w:rPr>
        <w:t>HHS</w:t>
      </w:r>
      <w:r>
        <w:rPr>
          <w:rFonts w:ascii="Times New Roman" w:eastAsia="MS PMincho" w:hAnsi="Times New Roman" w:cs="MS UI Gothic"/>
          <w:color w:val="1B1B1B"/>
          <w:sz w:val="24"/>
          <w:szCs w:val="24"/>
          <w:lang w:eastAsia="ja-JP"/>
        </w:rPr>
        <w:t>が管理する保健プログラムおよび活動、ならびに州および連邦政府が運営する</w:t>
      </w:r>
      <w:r>
        <w:rPr>
          <w:rFonts w:ascii="Times New Roman" w:eastAsia="MS PMincho" w:hAnsi="Times New Roman" w:cs="MS UI Gothic"/>
          <w:color w:val="1B1B1B"/>
          <w:sz w:val="24"/>
          <w:szCs w:val="24"/>
          <w:lang w:eastAsia="ja-JP"/>
        </w:rPr>
        <w:t>Exchange</w:t>
      </w:r>
      <w:r>
        <w:rPr>
          <w:rFonts w:ascii="Times New Roman" w:eastAsia="MS PMincho" w:hAnsi="Times New Roman" w:cs="MS UI Gothic"/>
          <w:color w:val="1B1B1B"/>
          <w:sz w:val="24"/>
          <w:szCs w:val="24"/>
          <w:lang w:eastAsia="ja-JP"/>
        </w:rPr>
        <w:t>に対し、確実に規則を遵守するための方針および手順を実施するよう求めています。特に、対象事業体は、英語力が限定される人々（</w:t>
      </w:r>
      <w:r>
        <w:rPr>
          <w:rFonts w:ascii="Times New Roman" w:eastAsia="MS PMincho" w:hAnsi="Times New Roman" w:cs="MS UI Gothic"/>
          <w:color w:val="1B1B1B"/>
          <w:sz w:val="24"/>
          <w:szCs w:val="24"/>
          <w:lang w:eastAsia="ja-JP"/>
        </w:rPr>
        <w:t>LEP</w:t>
      </w:r>
      <w:r>
        <w:rPr>
          <w:rFonts w:ascii="Times New Roman" w:eastAsia="MS PMincho" w:hAnsi="Times New Roman" w:cs="MS UI Gothic"/>
          <w:color w:val="1B1B1B"/>
          <w:sz w:val="24"/>
          <w:szCs w:val="24"/>
          <w:lang w:eastAsia="ja-JP"/>
        </w:rPr>
        <w:t>）に言語サポートサービスを提供し、障がい者が確実に効果的なコミュニケーションと合理的な修正がで</w:t>
      </w:r>
      <w:r>
        <w:rPr>
          <w:rFonts w:ascii="Times New Roman" w:eastAsia="MS PMincho" w:hAnsi="Times New Roman" w:cs="MS UI Gothic"/>
          <w:color w:val="1B1B1B"/>
          <w:sz w:val="24"/>
          <w:szCs w:val="24"/>
          <w:lang w:eastAsia="ja-JP"/>
        </w:rPr>
        <w:lastRenderedPageBreak/>
        <w:t>きるよう、方針を定めなければならないとしています。また対象事業体は、これらの方針および手順を、従業員に訓練することが求められています。これらの要件は、コンプライアンスの向上に役立つことが期待されます。</w:t>
      </w:r>
    </w:p>
    <w:p w14:paraId="098AABED" w14:textId="297B1E22" w:rsidR="00594DA7" w:rsidRPr="00641B2F" w:rsidRDefault="00000000" w:rsidP="00641B2F">
      <w:pPr>
        <w:pStyle w:val="Heading3"/>
      </w:pPr>
      <w:r w:rsidRPr="00641B2F">
        <w:rPr>
          <w:rFonts w:hint="eastAsia"/>
        </w:rPr>
        <w:t>差別禁止要件が、遠隔医療サービスを通じて提供される保健プログラムおよび活動に適用されることを明確化する（</w:t>
      </w:r>
      <w:r w:rsidRPr="00641B2F">
        <w:rPr>
          <w:rFonts w:hint="eastAsia"/>
        </w:rPr>
        <w:t>45 CFR 92.211</w:t>
      </w:r>
      <w:r w:rsidRPr="00641B2F">
        <w:rPr>
          <w:rFonts w:hint="eastAsia"/>
        </w:rPr>
        <w:t>）。</w:t>
      </w:r>
    </w:p>
    <w:p w14:paraId="18E44093" w14:textId="06DDF23D" w:rsidR="00594DA7" w:rsidRDefault="00000000" w:rsidP="00641B2F">
      <w:pPr>
        <w:spacing w:after="240" w:line="257" w:lineRule="auto"/>
        <w:ind w:left="-14" w:right="-14"/>
        <w:rPr>
          <w:rFonts w:ascii="Times New Roman" w:eastAsia="MS PMincho" w:hAnsi="Times New Roman" w:cs="Times New Roman"/>
          <w:color w:val="1B1B1B"/>
          <w:sz w:val="24"/>
          <w:szCs w:val="24"/>
          <w:lang w:eastAsia="ja-JP"/>
        </w:rPr>
      </w:pPr>
      <w:r>
        <w:rPr>
          <w:rFonts w:ascii="Times New Roman" w:eastAsia="MS PMincho" w:hAnsi="Times New Roman" w:cs="MS UI Gothic"/>
          <w:color w:val="1B1B1B"/>
          <w:sz w:val="24"/>
          <w:szCs w:val="24"/>
          <w:lang w:eastAsia="ja-JP"/>
        </w:rPr>
        <w:t>最終規則は、特に遠隔医療サービスにおける差別禁止について言及しています。本規則は、連邦財政補助金受領者、</w:t>
      </w:r>
      <w:r>
        <w:rPr>
          <w:rFonts w:ascii="Times New Roman" w:eastAsia="MS PMincho" w:hAnsi="Times New Roman" w:cs="MS UI Gothic"/>
          <w:color w:val="1B1B1B"/>
          <w:sz w:val="24"/>
          <w:szCs w:val="24"/>
          <w:lang w:eastAsia="ja-JP"/>
        </w:rPr>
        <w:t>HHS</w:t>
      </w:r>
      <w:r>
        <w:rPr>
          <w:rFonts w:ascii="Times New Roman" w:eastAsia="MS PMincho" w:hAnsi="Times New Roman" w:cs="MS UI Gothic"/>
          <w:color w:val="1B1B1B"/>
          <w:sz w:val="24"/>
          <w:szCs w:val="24"/>
          <w:lang w:eastAsia="ja-JP"/>
        </w:rPr>
        <w:t>が管理する保健プログラムおよび活動、ならびに州および連邦政府が運営する健康保険マーケットプレイスに対し、遠隔医療サービス</w:t>
      </w:r>
      <w:r>
        <w:rPr>
          <w:rFonts w:ascii="Times New Roman" w:eastAsia="MS PMincho" w:hAnsi="Times New Roman" w:cs="MS UI Gothic" w:hint="eastAsia"/>
          <w:color w:val="1B1B1B"/>
          <w:sz w:val="24"/>
          <w:szCs w:val="24"/>
          <w:lang w:eastAsia="ja-JP"/>
        </w:rPr>
        <w:t>を通じて提供される</w:t>
      </w:r>
      <w:r>
        <w:rPr>
          <w:rFonts w:ascii="Times New Roman" w:eastAsia="MS PMincho" w:hAnsi="Times New Roman" w:cs="MS UI Gothic"/>
          <w:color w:val="1B1B1B"/>
          <w:sz w:val="24"/>
          <w:szCs w:val="24"/>
          <w:lang w:eastAsia="ja-JP"/>
        </w:rPr>
        <w:t>保健プログラムおよび活動の提供における差別の禁止を明確にするものです。これは、そうしたサービスが障がい者にとって利用しやすいものであることを保証し、英語力が限定される人々（</w:t>
      </w:r>
      <w:r>
        <w:rPr>
          <w:rFonts w:ascii="Times New Roman" w:eastAsia="MS PMincho" w:hAnsi="Times New Roman" w:cs="MS UI Gothic"/>
          <w:color w:val="1B1B1B"/>
          <w:sz w:val="24"/>
          <w:szCs w:val="24"/>
          <w:lang w:eastAsia="ja-JP"/>
        </w:rPr>
        <w:t>LEP</w:t>
      </w:r>
      <w:r>
        <w:rPr>
          <w:rFonts w:ascii="Times New Roman" w:eastAsia="MS PMincho" w:hAnsi="Times New Roman" w:cs="MS UI Gothic"/>
          <w:color w:val="1B1B1B"/>
          <w:sz w:val="24"/>
          <w:szCs w:val="24"/>
          <w:lang w:eastAsia="ja-JP"/>
        </w:rPr>
        <w:t>）が有意義なプログラムにアクセスできることを意味しています。</w:t>
      </w:r>
    </w:p>
    <w:p w14:paraId="6E9347C0" w14:textId="3B824075" w:rsidR="00594DA7" w:rsidRPr="00641B2F" w:rsidRDefault="00000000" w:rsidP="00641B2F">
      <w:pPr>
        <w:pStyle w:val="Heading3"/>
      </w:pPr>
      <w:bookmarkStart w:id="0" w:name="_Hlk164767565"/>
      <w:r w:rsidRPr="00641B2F">
        <w:rPr>
          <w:rFonts w:hint="eastAsia"/>
        </w:rPr>
        <w:t>信教の自由と良心のための連邦政府の保護を尊重する（</w:t>
      </w:r>
      <w:r w:rsidRPr="00641B2F">
        <w:rPr>
          <w:rFonts w:hint="eastAsia"/>
        </w:rPr>
        <w:t>45 CFR 92.3</w:t>
      </w:r>
      <w:r w:rsidRPr="00641B2F">
        <w:rPr>
          <w:rFonts w:hint="eastAsia"/>
        </w:rPr>
        <w:t>、</w:t>
      </w:r>
      <w:r w:rsidRPr="00641B2F">
        <w:rPr>
          <w:rFonts w:hint="eastAsia"/>
        </w:rPr>
        <w:t>92.302</w:t>
      </w:r>
      <w:r w:rsidRPr="00641B2F">
        <w:rPr>
          <w:rFonts w:hint="eastAsia"/>
        </w:rPr>
        <w:t>）。</w:t>
      </w:r>
      <w:bookmarkEnd w:id="0"/>
    </w:p>
    <w:p w14:paraId="30B588E4" w14:textId="702366C6" w:rsidR="00594DA7" w:rsidRDefault="00000000" w:rsidP="00641B2F">
      <w:pPr>
        <w:spacing w:after="240" w:line="257" w:lineRule="auto"/>
        <w:ind w:left="-14" w:right="-14"/>
        <w:rPr>
          <w:rFonts w:ascii="Times New Roman" w:eastAsia="MS PMincho" w:hAnsi="Times New Roman" w:cs="Times New Roman"/>
          <w:color w:val="1B1B1B"/>
          <w:sz w:val="24"/>
          <w:szCs w:val="24"/>
          <w:lang w:eastAsia="ja-JP"/>
        </w:rPr>
      </w:pPr>
      <w:r>
        <w:rPr>
          <w:rFonts w:ascii="Times New Roman" w:eastAsia="MS PMincho" w:hAnsi="Times New Roman" w:cs="MS UI Gothic"/>
          <w:color w:val="1B1B1B"/>
          <w:sz w:val="24"/>
          <w:szCs w:val="24"/>
          <w:lang w:eastAsia="ja-JP"/>
        </w:rPr>
        <w:t>最終規則では、</w:t>
      </w:r>
      <w:r>
        <w:rPr>
          <w:rFonts w:ascii="Times New Roman" w:eastAsia="MS PMincho" w:hAnsi="Times New Roman" w:cs="MS UI Gothic" w:hint="eastAsia"/>
          <w:color w:val="1B1B1B"/>
          <w:sz w:val="24"/>
          <w:szCs w:val="24"/>
          <w:lang w:eastAsia="ja-JP"/>
        </w:rPr>
        <w:t>規則の適用により</w:t>
      </w:r>
      <w:r>
        <w:rPr>
          <w:rFonts w:ascii="Times New Roman" w:eastAsia="MS PMincho" w:hAnsi="Times New Roman" w:cs="MS UI Gothic"/>
          <w:color w:val="1B1B1B"/>
          <w:sz w:val="24"/>
          <w:szCs w:val="24"/>
          <w:lang w:eastAsia="ja-JP"/>
        </w:rPr>
        <w:t>信教の自由と良心のため</w:t>
      </w:r>
      <w:r>
        <w:rPr>
          <w:rFonts w:ascii="Times New Roman" w:eastAsia="MS PMincho" w:hAnsi="Times New Roman" w:cs="MS UI Gothic" w:hint="eastAsia"/>
          <w:color w:val="1B1B1B"/>
          <w:sz w:val="24"/>
          <w:szCs w:val="24"/>
          <w:lang w:eastAsia="ja-JP"/>
        </w:rPr>
        <w:t>の</w:t>
      </w:r>
      <w:r>
        <w:rPr>
          <w:rFonts w:ascii="Times New Roman" w:eastAsia="MS PMincho" w:hAnsi="Times New Roman" w:cs="MS UI Gothic"/>
          <w:color w:val="1B1B1B"/>
          <w:sz w:val="24"/>
          <w:szCs w:val="24"/>
          <w:lang w:eastAsia="ja-JP"/>
        </w:rPr>
        <w:t>連邦政府の保護</w:t>
      </w:r>
      <w:r>
        <w:rPr>
          <w:rFonts w:ascii="Times New Roman" w:eastAsia="MS PMincho" w:hAnsi="Times New Roman" w:cs="MS UI Gothic" w:hint="eastAsia"/>
          <w:color w:val="1B1B1B"/>
          <w:sz w:val="24"/>
          <w:szCs w:val="24"/>
          <w:lang w:eastAsia="ja-JP"/>
        </w:rPr>
        <w:t>が侵害される</w:t>
      </w:r>
      <w:r>
        <w:rPr>
          <w:rFonts w:ascii="Times New Roman" w:eastAsia="MS PMincho" w:hAnsi="Times New Roman" w:cs="MS UI Gothic"/>
          <w:color w:val="1B1B1B"/>
          <w:sz w:val="24"/>
          <w:szCs w:val="24"/>
          <w:lang w:eastAsia="ja-JP"/>
        </w:rPr>
        <w:t>場合には、</w:t>
      </w:r>
      <w:r>
        <w:rPr>
          <w:rFonts w:ascii="Times New Roman" w:eastAsia="MS PMincho" w:hAnsi="Times New Roman" w:cs="MS UI Gothic" w:hint="eastAsia"/>
          <w:color w:val="1B1B1B"/>
          <w:sz w:val="24"/>
          <w:szCs w:val="24"/>
          <w:lang w:eastAsia="ja-JP"/>
        </w:rPr>
        <w:t>その規則</w:t>
      </w:r>
      <w:r>
        <w:rPr>
          <w:rFonts w:ascii="Times New Roman" w:eastAsia="MS PMincho" w:hAnsi="Times New Roman" w:cs="MS UI Gothic"/>
          <w:color w:val="1B1B1B"/>
          <w:sz w:val="24"/>
          <w:szCs w:val="24"/>
          <w:lang w:eastAsia="ja-JP"/>
        </w:rPr>
        <w:t>を適用する必要はないと定めています。</w:t>
      </w:r>
      <w:r>
        <w:rPr>
          <w:rFonts w:ascii="Times New Roman" w:eastAsia="MS PMincho" w:hAnsi="Times New Roman" w:cs="MS UI Gothic" w:hint="eastAsia"/>
          <w:color w:val="1B1B1B"/>
          <w:sz w:val="24"/>
          <w:szCs w:val="24"/>
          <w:lang w:eastAsia="ja-JP"/>
        </w:rPr>
        <w:t>この</w:t>
      </w:r>
      <w:r>
        <w:rPr>
          <w:rFonts w:ascii="Times New Roman" w:eastAsia="MS PMincho" w:hAnsi="Times New Roman" w:cs="MS UI Gothic"/>
          <w:color w:val="1B1B1B"/>
          <w:sz w:val="24"/>
          <w:szCs w:val="24"/>
          <w:lang w:eastAsia="ja-JP"/>
        </w:rPr>
        <w:t>規則</w:t>
      </w:r>
      <w:r>
        <w:rPr>
          <w:rFonts w:ascii="Times New Roman" w:eastAsia="MS PMincho" w:hAnsi="Times New Roman" w:cs="MS UI Gothic" w:hint="eastAsia"/>
          <w:color w:val="1B1B1B"/>
          <w:sz w:val="24"/>
          <w:szCs w:val="24"/>
          <w:lang w:eastAsia="ja-JP"/>
        </w:rPr>
        <w:t>に基づき</w:t>
      </w:r>
      <w:r>
        <w:rPr>
          <w:rFonts w:ascii="Times New Roman" w:eastAsia="MS PMincho" w:hAnsi="Times New Roman" w:cs="MS UI Gothic"/>
          <w:color w:val="1B1B1B"/>
          <w:sz w:val="24"/>
          <w:szCs w:val="24"/>
          <w:lang w:eastAsia="ja-JP"/>
        </w:rPr>
        <w:t>、連邦財政補助金受領者</w:t>
      </w:r>
      <w:r>
        <w:rPr>
          <w:rFonts w:ascii="Times New Roman" w:eastAsia="MS PMincho" w:hAnsi="Times New Roman" w:cs="MS UI Gothic" w:hint="eastAsia"/>
          <w:color w:val="1B1B1B"/>
          <w:sz w:val="24"/>
          <w:szCs w:val="24"/>
          <w:lang w:eastAsia="ja-JP"/>
        </w:rPr>
        <w:t>は</w:t>
      </w:r>
      <w:r>
        <w:rPr>
          <w:rFonts w:ascii="Times New Roman" w:eastAsia="MS PMincho" w:hAnsi="Times New Roman" w:cs="MS UI Gothic"/>
          <w:color w:val="1B1B1B"/>
          <w:sz w:val="24"/>
          <w:szCs w:val="24"/>
          <w:lang w:eastAsia="ja-JP"/>
        </w:rPr>
        <w:t>、</w:t>
      </w:r>
      <w:r>
        <w:rPr>
          <w:rFonts w:ascii="Times New Roman" w:eastAsia="MS PMincho" w:hAnsi="Times New Roman" w:cs="MS UI Gothic" w:hint="eastAsia"/>
          <w:color w:val="1B1B1B"/>
          <w:sz w:val="24"/>
          <w:szCs w:val="24"/>
          <w:lang w:eastAsia="ja-JP"/>
        </w:rPr>
        <w:t>単に</w:t>
      </w:r>
      <w:r>
        <w:rPr>
          <w:rFonts w:ascii="Times New Roman" w:eastAsia="MS PMincho" w:hAnsi="Times New Roman" w:cs="MS UI Gothic" w:hint="eastAsia"/>
          <w:color w:val="1B1B1B"/>
          <w:sz w:val="24"/>
          <w:szCs w:val="24"/>
          <w:lang w:eastAsia="ja-JP"/>
        </w:rPr>
        <w:t>HHS OCR</w:t>
      </w:r>
      <w:r>
        <w:rPr>
          <w:rFonts w:ascii="Times New Roman" w:eastAsia="MS PMincho" w:hAnsi="Times New Roman" w:cs="MS UI Gothic" w:hint="eastAsia"/>
          <w:color w:val="1B1B1B"/>
          <w:sz w:val="24"/>
          <w:szCs w:val="24"/>
          <w:lang w:eastAsia="ja-JP"/>
        </w:rPr>
        <w:t>からの保護に依拠し、またはその保護の確保を求めることができます</w:t>
      </w:r>
      <w:r>
        <w:rPr>
          <w:rFonts w:ascii="Times New Roman" w:eastAsia="MS PMincho" w:hAnsi="Times New Roman" w:cs="MS UI Gothic"/>
          <w:color w:val="1B1B1B"/>
          <w:sz w:val="24"/>
          <w:szCs w:val="24"/>
          <w:lang w:eastAsia="ja-JP"/>
        </w:rPr>
        <w:t>。</w:t>
      </w:r>
    </w:p>
    <w:p w14:paraId="30F696FA" w14:textId="7E4D65AB" w:rsidR="00594DA7" w:rsidRPr="00641B2F" w:rsidRDefault="00000000" w:rsidP="00641B2F">
      <w:pPr>
        <w:pStyle w:val="Heading3"/>
      </w:pPr>
      <w:r w:rsidRPr="00641B2F">
        <w:rPr>
          <w:rFonts w:hint="eastAsia"/>
        </w:rPr>
        <w:t>メディケアパート</w:t>
      </w:r>
      <w:r w:rsidRPr="00641B2F">
        <w:rPr>
          <w:rFonts w:hint="eastAsia"/>
        </w:rPr>
        <w:t>B</w:t>
      </w:r>
      <w:r w:rsidRPr="00641B2F">
        <w:rPr>
          <w:rFonts w:hint="eastAsia"/>
        </w:rPr>
        <w:t>を連邦政府補助金とみなすことに関する通知。</w:t>
      </w:r>
    </w:p>
    <w:p w14:paraId="5A70B48B" w14:textId="63F6D009" w:rsidR="00594DA7" w:rsidRPr="00641B2F" w:rsidRDefault="00000000" w:rsidP="00641B2F">
      <w:pPr>
        <w:spacing w:after="240" w:line="257" w:lineRule="auto"/>
        <w:ind w:left="-14" w:right="-14"/>
        <w:rPr>
          <w:rFonts w:ascii="Times New Roman" w:eastAsia="MS PMincho" w:hAnsi="Times New Roman" w:cs="MS UI Gothic"/>
          <w:color w:val="1B1B1B"/>
          <w:sz w:val="24"/>
          <w:szCs w:val="24"/>
          <w:lang w:eastAsia="ja-JP"/>
        </w:rPr>
      </w:pPr>
      <w:r>
        <w:rPr>
          <w:rFonts w:ascii="Times New Roman" w:eastAsia="MS PMincho" w:hAnsi="Times New Roman" w:cs="MS UI Gothic"/>
          <w:color w:val="1B1B1B"/>
          <w:sz w:val="24"/>
          <w:szCs w:val="24"/>
          <w:lang w:eastAsia="ja-JP"/>
        </w:rPr>
        <w:t>本規則の制定は、メディケアパート</w:t>
      </w:r>
      <w:r>
        <w:rPr>
          <w:rFonts w:ascii="Times New Roman" w:eastAsia="MS PMincho" w:hAnsi="Times New Roman" w:cs="MS UI Gothic"/>
          <w:color w:val="1B1B1B"/>
          <w:sz w:val="24"/>
          <w:szCs w:val="24"/>
          <w:lang w:eastAsia="ja-JP"/>
        </w:rPr>
        <w:t>B</w:t>
      </w:r>
      <w:r>
        <w:rPr>
          <w:rFonts w:ascii="Times New Roman" w:eastAsia="MS PMincho" w:hAnsi="Times New Roman" w:cs="MS UI Gothic" w:hint="eastAsia"/>
          <w:color w:val="1B1B1B"/>
          <w:sz w:val="24"/>
          <w:szCs w:val="24"/>
          <w:lang w:eastAsia="ja-JP"/>
        </w:rPr>
        <w:t>の支払い</w:t>
      </w:r>
      <w:r>
        <w:rPr>
          <w:rFonts w:ascii="Times New Roman" w:eastAsia="MS PMincho" w:hAnsi="Times New Roman" w:cs="MS UI Gothic"/>
          <w:color w:val="1B1B1B"/>
          <w:sz w:val="24"/>
          <w:szCs w:val="24"/>
          <w:lang w:eastAsia="ja-JP"/>
        </w:rPr>
        <w:t>は、同省が施行する連邦公民権法の適用を目的とした連邦政府補助金</w:t>
      </w:r>
      <w:r>
        <w:rPr>
          <w:rFonts w:ascii="Times New Roman" w:eastAsia="MS PMincho" w:hAnsi="Times New Roman" w:cs="MS UI Gothic" w:hint="eastAsia"/>
          <w:color w:val="1B1B1B"/>
          <w:sz w:val="24"/>
          <w:szCs w:val="24"/>
          <w:lang w:eastAsia="ja-JP"/>
        </w:rPr>
        <w:t>を構成する</w:t>
      </w:r>
      <w:r>
        <w:rPr>
          <w:rFonts w:ascii="Times New Roman" w:eastAsia="MS PMincho" w:hAnsi="Times New Roman" w:cs="MS UI Gothic"/>
          <w:color w:val="1B1B1B"/>
          <w:sz w:val="24"/>
          <w:szCs w:val="24"/>
          <w:lang w:eastAsia="ja-JP"/>
        </w:rPr>
        <w:t>、という同省の解釈を通知するものです。これらには、</w:t>
      </w:r>
      <w:hyperlink r:id="rId15" w:history="1">
        <w:r>
          <w:rPr>
            <w:rFonts w:ascii="Times New Roman" w:eastAsia="MS PMincho" w:hAnsi="Times New Roman" w:cs="MS UI Gothic"/>
            <w:color w:val="0563C1"/>
            <w:sz w:val="24"/>
            <w:szCs w:val="24"/>
            <w:u w:val="single"/>
            <w:lang w:eastAsia="ja-JP"/>
          </w:rPr>
          <w:t>1964</w:t>
        </w:r>
        <w:r>
          <w:rPr>
            <w:rFonts w:ascii="Times New Roman" w:eastAsia="MS PMincho" w:hAnsi="Times New Roman" w:cs="MS UI Gothic"/>
            <w:color w:val="0563C1"/>
            <w:sz w:val="24"/>
            <w:szCs w:val="24"/>
            <w:u w:val="single"/>
            <w:lang w:eastAsia="ja-JP"/>
          </w:rPr>
          <w:t>年公民権法第</w:t>
        </w:r>
        <w:r>
          <w:rPr>
            <w:rFonts w:ascii="Times New Roman" w:eastAsia="MS PMincho" w:hAnsi="Times New Roman" w:cs="MS UI Gothic"/>
            <w:color w:val="0563C1"/>
            <w:sz w:val="24"/>
            <w:szCs w:val="24"/>
            <w:u w:val="single"/>
            <w:lang w:eastAsia="ja-JP"/>
          </w:rPr>
          <w:t>6</w:t>
        </w:r>
        <w:r>
          <w:rPr>
            <w:rFonts w:ascii="Times New Roman" w:eastAsia="MS PMincho" w:hAnsi="Times New Roman" w:cs="MS UI Gothic"/>
            <w:color w:val="0563C1"/>
            <w:sz w:val="24"/>
            <w:szCs w:val="24"/>
            <w:u w:val="single"/>
            <w:lang w:eastAsia="ja-JP"/>
          </w:rPr>
          <w:t>編</w:t>
        </w:r>
      </w:hyperlink>
      <w:r>
        <w:rPr>
          <w:rFonts w:ascii="Times New Roman" w:eastAsia="MS PMincho" w:hAnsi="Times New Roman" w:cs="MS UI Gothic"/>
          <w:color w:val="1B1B1B"/>
          <w:sz w:val="24"/>
          <w:szCs w:val="24"/>
          <w:lang w:eastAsia="ja-JP"/>
        </w:rPr>
        <w:t>、</w:t>
      </w:r>
      <w:hyperlink r:id="rId16" w:history="1">
        <w:r>
          <w:rPr>
            <w:rFonts w:ascii="Times New Roman" w:eastAsia="MS PMincho" w:hAnsi="Times New Roman" w:cs="MS UI Gothic"/>
            <w:color w:val="0563C1"/>
            <w:sz w:val="24"/>
            <w:szCs w:val="24"/>
            <w:u w:val="single"/>
            <w:lang w:eastAsia="ja-JP"/>
          </w:rPr>
          <w:t>1973</w:t>
        </w:r>
        <w:r>
          <w:rPr>
            <w:rFonts w:ascii="Times New Roman" w:eastAsia="MS PMincho" w:hAnsi="Times New Roman" w:cs="MS UI Gothic"/>
            <w:color w:val="0563C1"/>
            <w:sz w:val="24"/>
            <w:szCs w:val="24"/>
            <w:u w:val="single"/>
            <w:lang w:eastAsia="ja-JP"/>
          </w:rPr>
          <w:t>年リハビリテーション法第</w:t>
        </w:r>
        <w:r>
          <w:rPr>
            <w:rFonts w:ascii="Times New Roman" w:eastAsia="MS PMincho" w:hAnsi="Times New Roman" w:cs="MS UI Gothic"/>
            <w:color w:val="0563C1"/>
            <w:sz w:val="24"/>
            <w:szCs w:val="24"/>
            <w:u w:val="single"/>
            <w:lang w:eastAsia="ja-JP"/>
          </w:rPr>
          <w:t>504</w:t>
        </w:r>
        <w:r>
          <w:rPr>
            <w:rFonts w:ascii="Times New Roman" w:eastAsia="MS PMincho" w:hAnsi="Times New Roman" w:cs="MS UI Gothic"/>
            <w:color w:val="0563C1"/>
            <w:sz w:val="24"/>
            <w:szCs w:val="24"/>
            <w:u w:val="single"/>
            <w:lang w:eastAsia="ja-JP"/>
          </w:rPr>
          <w:t>条</w:t>
        </w:r>
      </w:hyperlink>
      <w:r>
        <w:rPr>
          <w:rFonts w:ascii="Times New Roman" w:eastAsia="MS PMincho" w:hAnsi="Times New Roman" w:cs="MS UI Gothic"/>
          <w:color w:val="1B1B1B"/>
          <w:sz w:val="24"/>
          <w:szCs w:val="24"/>
          <w:lang w:eastAsia="ja-JP"/>
        </w:rPr>
        <w:t>、</w:t>
      </w:r>
      <w:hyperlink r:id="rId17" w:history="1">
        <w:r>
          <w:rPr>
            <w:rFonts w:ascii="Times New Roman" w:eastAsia="MS PMincho" w:hAnsi="Times New Roman" w:cs="MS UI Gothic"/>
            <w:color w:val="0563C1"/>
            <w:sz w:val="24"/>
            <w:szCs w:val="24"/>
            <w:u w:val="single"/>
            <w:lang w:eastAsia="ja-JP"/>
          </w:rPr>
          <w:t>タイトル・ナイン（</w:t>
        </w:r>
        <w:r>
          <w:rPr>
            <w:rFonts w:ascii="Times New Roman" w:eastAsia="MS PMincho" w:hAnsi="Times New Roman" w:cs="MS UI Gothic"/>
            <w:color w:val="0563C1"/>
            <w:sz w:val="24"/>
            <w:szCs w:val="24"/>
            <w:u w:val="single"/>
            <w:lang w:eastAsia="ja-JP"/>
          </w:rPr>
          <w:t>1972</w:t>
        </w:r>
        <w:r>
          <w:rPr>
            <w:rFonts w:ascii="Times New Roman" w:eastAsia="MS PMincho" w:hAnsi="Times New Roman" w:cs="MS UI Gothic"/>
            <w:color w:val="0563C1"/>
            <w:sz w:val="24"/>
            <w:szCs w:val="24"/>
            <w:u w:val="single"/>
            <w:lang w:eastAsia="ja-JP"/>
          </w:rPr>
          <w:t>年教育改正法第</w:t>
        </w:r>
        <w:r>
          <w:rPr>
            <w:rFonts w:ascii="Times New Roman" w:eastAsia="MS PMincho" w:hAnsi="Times New Roman" w:cs="MS UI Gothic"/>
            <w:color w:val="0563C1"/>
            <w:sz w:val="24"/>
            <w:szCs w:val="24"/>
            <w:u w:val="single"/>
            <w:lang w:eastAsia="ja-JP"/>
          </w:rPr>
          <w:t>9</w:t>
        </w:r>
        <w:r>
          <w:rPr>
            <w:rFonts w:ascii="Times New Roman" w:eastAsia="MS PMincho" w:hAnsi="Times New Roman" w:cs="MS UI Gothic"/>
            <w:color w:val="0563C1"/>
            <w:sz w:val="24"/>
            <w:szCs w:val="24"/>
            <w:u w:val="single"/>
            <w:lang w:eastAsia="ja-JP"/>
          </w:rPr>
          <w:t>編）</w:t>
        </w:r>
      </w:hyperlink>
      <w:r>
        <w:rPr>
          <w:rFonts w:ascii="Times New Roman" w:eastAsia="MS PMincho" w:hAnsi="Times New Roman" w:cs="MS UI Gothic"/>
          <w:color w:val="1B1B1B"/>
          <w:sz w:val="24"/>
          <w:szCs w:val="24"/>
          <w:lang w:eastAsia="ja-JP"/>
        </w:rPr>
        <w:t>、</w:t>
      </w:r>
      <w:hyperlink r:id="rId18" w:history="1">
        <w:r>
          <w:rPr>
            <w:rFonts w:ascii="Times New Roman" w:eastAsia="MS PMincho" w:hAnsi="Times New Roman" w:cs="MS UI Gothic"/>
            <w:color w:val="0563C1"/>
            <w:sz w:val="24"/>
            <w:szCs w:val="24"/>
            <w:u w:val="single"/>
            <w:lang w:eastAsia="ja-JP"/>
          </w:rPr>
          <w:t>1975</w:t>
        </w:r>
        <w:r>
          <w:rPr>
            <w:rFonts w:ascii="Times New Roman" w:eastAsia="MS PMincho" w:hAnsi="Times New Roman" w:cs="MS UI Gothic"/>
            <w:color w:val="0563C1"/>
            <w:sz w:val="24"/>
            <w:szCs w:val="24"/>
            <w:u w:val="single"/>
            <w:lang w:eastAsia="ja-JP"/>
          </w:rPr>
          <w:t>年年齢差別禁止法</w:t>
        </w:r>
      </w:hyperlink>
      <w:r>
        <w:rPr>
          <w:rFonts w:ascii="Times New Roman" w:eastAsia="MS PMincho" w:hAnsi="Times New Roman" w:cs="MS UI Gothic"/>
          <w:color w:val="1B1B1B"/>
          <w:sz w:val="24"/>
          <w:szCs w:val="24"/>
          <w:lang w:eastAsia="ja-JP"/>
        </w:rPr>
        <w:t>、および</w:t>
      </w:r>
      <w:r>
        <w:rPr>
          <w:rFonts w:ascii="Times New Roman" w:eastAsia="MS PMincho" w:hAnsi="Times New Roman" w:cs="MS UI Gothic"/>
          <w:color w:val="1B1B1B"/>
          <w:sz w:val="24"/>
          <w:szCs w:val="24"/>
          <w:lang w:eastAsia="ja-JP"/>
        </w:rPr>
        <w:t>ACA</w:t>
      </w:r>
      <w:r>
        <w:rPr>
          <w:rFonts w:ascii="Times New Roman" w:eastAsia="MS PMincho" w:hAnsi="Times New Roman" w:cs="MS UI Gothic"/>
          <w:color w:val="1B1B1B"/>
          <w:sz w:val="24"/>
          <w:szCs w:val="24"/>
          <w:lang w:eastAsia="ja-JP"/>
        </w:rPr>
        <w:t>の第</w:t>
      </w:r>
      <w:r>
        <w:rPr>
          <w:rFonts w:ascii="Times New Roman" w:eastAsia="MS PMincho" w:hAnsi="Times New Roman" w:cs="MS UI Gothic"/>
          <w:color w:val="1B1B1B"/>
          <w:sz w:val="24"/>
          <w:szCs w:val="24"/>
          <w:lang w:eastAsia="ja-JP"/>
        </w:rPr>
        <w:t>1557</w:t>
      </w:r>
      <w:r>
        <w:rPr>
          <w:rFonts w:ascii="Times New Roman" w:eastAsia="MS PMincho" w:hAnsi="Times New Roman" w:cs="MS UI Gothic"/>
          <w:color w:val="1B1B1B"/>
          <w:sz w:val="24"/>
          <w:szCs w:val="24"/>
          <w:lang w:eastAsia="ja-JP"/>
        </w:rPr>
        <w:t>条が含まれています。メディケアパート</w:t>
      </w:r>
      <w:r>
        <w:rPr>
          <w:rFonts w:ascii="Times New Roman" w:eastAsia="MS PMincho" w:hAnsi="Times New Roman" w:cs="MS UI Gothic"/>
          <w:color w:val="1B1B1B"/>
          <w:sz w:val="24"/>
          <w:szCs w:val="24"/>
          <w:lang w:eastAsia="ja-JP"/>
        </w:rPr>
        <w:t>B</w:t>
      </w:r>
      <w:r>
        <w:rPr>
          <w:rFonts w:ascii="Times New Roman" w:eastAsia="MS PMincho" w:hAnsi="Times New Roman" w:cs="MS UI Gothic"/>
          <w:color w:val="1B1B1B"/>
          <w:sz w:val="24"/>
          <w:szCs w:val="24"/>
          <w:lang w:eastAsia="ja-JP"/>
        </w:rPr>
        <w:t>の資金は、上記法令の規則に定義されている通り、同法に基づく連邦政府補助金の定義に合致しています。同省では、メディケアパート</w:t>
      </w:r>
      <w:r>
        <w:rPr>
          <w:rFonts w:ascii="Times New Roman" w:eastAsia="MS PMincho" w:hAnsi="Times New Roman" w:cs="MS UI Gothic"/>
          <w:color w:val="1B1B1B"/>
          <w:sz w:val="24"/>
          <w:szCs w:val="24"/>
          <w:lang w:eastAsia="ja-JP"/>
        </w:rPr>
        <w:t>B</w:t>
      </w:r>
      <w:r>
        <w:rPr>
          <w:rFonts w:ascii="Times New Roman" w:eastAsia="MS PMincho" w:hAnsi="Times New Roman" w:cs="MS UI Gothic"/>
          <w:color w:val="1B1B1B"/>
          <w:sz w:val="24"/>
          <w:szCs w:val="24"/>
          <w:lang w:eastAsia="ja-JP"/>
        </w:rPr>
        <w:t>の除外についてこれまで提示されていた根拠は</w:t>
      </w:r>
      <w:r>
        <w:rPr>
          <w:rFonts w:ascii="Times New Roman" w:eastAsia="MS PMincho" w:hAnsi="Times New Roman" w:cs="MS UI Gothic" w:hint="eastAsia"/>
          <w:color w:val="1B1B1B"/>
          <w:sz w:val="24"/>
          <w:szCs w:val="24"/>
          <w:lang w:eastAsia="ja-JP"/>
        </w:rPr>
        <w:t>、法改正およびメディケアプログラムの変更を考慮すると時代遅れであり</w:t>
      </w:r>
      <w:r>
        <w:rPr>
          <w:rFonts w:ascii="Times New Roman" w:eastAsia="MS PMincho" w:hAnsi="Times New Roman" w:cs="MS UI Gothic"/>
          <w:color w:val="1B1B1B"/>
          <w:sz w:val="24"/>
          <w:szCs w:val="24"/>
          <w:lang w:eastAsia="ja-JP"/>
        </w:rPr>
        <w:t>、</w:t>
      </w:r>
      <w:r>
        <w:rPr>
          <w:rFonts w:ascii="Times New Roman" w:eastAsia="MS PMincho" w:hAnsi="Times New Roman" w:cs="MS UI Gothic" w:hint="eastAsia"/>
          <w:color w:val="1B1B1B"/>
          <w:sz w:val="24"/>
          <w:szCs w:val="24"/>
          <w:lang w:eastAsia="ja-JP"/>
        </w:rPr>
        <w:t>方針変更が、</w:t>
      </w:r>
      <w:r>
        <w:rPr>
          <w:rFonts w:ascii="Times New Roman" w:eastAsia="MS PMincho" w:hAnsi="Times New Roman" w:cs="MS UI Gothic"/>
          <w:color w:val="1B1B1B"/>
          <w:sz w:val="24"/>
          <w:szCs w:val="24"/>
          <w:lang w:eastAsia="ja-JP"/>
        </w:rPr>
        <w:t>メディケアパート</w:t>
      </w:r>
      <w:r>
        <w:rPr>
          <w:rFonts w:ascii="Times New Roman" w:eastAsia="MS PMincho" w:hAnsi="Times New Roman" w:cs="MS UI Gothic"/>
          <w:color w:val="1B1B1B"/>
          <w:sz w:val="24"/>
          <w:szCs w:val="24"/>
          <w:lang w:eastAsia="ja-JP"/>
        </w:rPr>
        <w:t>B</w:t>
      </w:r>
      <w:r>
        <w:rPr>
          <w:rFonts w:ascii="Times New Roman" w:eastAsia="MS PMincho" w:hAnsi="Times New Roman" w:cs="MS UI Gothic"/>
          <w:color w:val="1B1B1B"/>
          <w:sz w:val="24"/>
          <w:szCs w:val="24"/>
          <w:lang w:eastAsia="ja-JP"/>
        </w:rPr>
        <w:t>プログラム</w:t>
      </w:r>
      <w:r>
        <w:rPr>
          <w:rFonts w:ascii="Times New Roman" w:eastAsia="MS PMincho" w:hAnsi="Times New Roman" w:cs="MS UI Gothic" w:hint="eastAsia"/>
          <w:color w:val="1B1B1B"/>
          <w:sz w:val="24"/>
          <w:szCs w:val="24"/>
          <w:lang w:eastAsia="ja-JP"/>
        </w:rPr>
        <w:t>の目的および運営を考慮した上で公民権法の</w:t>
      </w:r>
      <w:r>
        <w:rPr>
          <w:rFonts w:ascii="Times New Roman" w:eastAsia="MS PMincho" w:hAnsi="Times New Roman" w:cs="MS UI Gothic"/>
          <w:color w:val="1B1B1B"/>
          <w:sz w:val="24"/>
          <w:szCs w:val="24"/>
          <w:lang w:eastAsia="ja-JP"/>
        </w:rPr>
        <w:t>最善</w:t>
      </w:r>
      <w:r>
        <w:rPr>
          <w:rFonts w:ascii="Times New Roman" w:eastAsia="MS PMincho" w:hAnsi="Times New Roman" w:cs="MS UI Gothic" w:hint="eastAsia"/>
          <w:color w:val="1B1B1B"/>
          <w:sz w:val="24"/>
          <w:szCs w:val="24"/>
          <w:lang w:eastAsia="ja-JP"/>
        </w:rPr>
        <w:t>の解釈</w:t>
      </w:r>
      <w:r>
        <w:rPr>
          <w:rFonts w:ascii="Times New Roman" w:eastAsia="MS PMincho" w:hAnsi="Times New Roman" w:cs="MS UI Gothic"/>
          <w:color w:val="1B1B1B"/>
          <w:sz w:val="24"/>
          <w:szCs w:val="24"/>
          <w:lang w:eastAsia="ja-JP"/>
        </w:rPr>
        <w:t>である、と考えています。</w:t>
      </w:r>
    </w:p>
    <w:p w14:paraId="7A6B74D3" w14:textId="40E3BF0D" w:rsidR="00594DA7" w:rsidRPr="00641B2F" w:rsidRDefault="00000000" w:rsidP="00641B2F">
      <w:pPr>
        <w:spacing w:after="200" w:line="276" w:lineRule="auto"/>
        <w:rPr>
          <w:rFonts w:ascii="Times New Roman" w:eastAsia="MS PMincho" w:hAnsi="Times New Roman" w:cs="Calibri"/>
          <w:color w:val="000000" w:themeColor="text1"/>
          <w:lang w:eastAsia="ja-JP"/>
        </w:rPr>
      </w:pPr>
      <w:r>
        <w:rPr>
          <w:rFonts w:ascii="MS Mincho" w:eastAsia="MS Mincho" w:hAnsi="MS Mincho" w:cs="MS Mincho" w:hint="eastAsia"/>
          <w:color w:val="000000" w:themeColor="text1"/>
          <w:sz w:val="24"/>
          <w:szCs w:val="24"/>
          <w:lang w:eastAsia="ja-JP"/>
        </w:rPr>
        <w:t>最終規則は</w:t>
      </w:r>
      <w:hyperlink r:id="rId19" w:history="1">
        <w:r w:rsidR="006044B2">
          <w:rPr>
            <w:rStyle w:val="Hyperlink"/>
            <w:lang w:eastAsia="ja-JP"/>
          </w:rPr>
          <w:t>hhs.gov/1557</w:t>
        </w:r>
      </w:hyperlink>
      <w:r>
        <w:rPr>
          <w:rFonts w:ascii="MS Mincho" w:eastAsia="MS Mincho" w:hAnsi="MS Mincho" w:cs="MS Mincho" w:hint="eastAsia"/>
          <w:color w:val="000000" w:themeColor="text1"/>
          <w:sz w:val="24"/>
          <w:szCs w:val="24"/>
          <w:lang w:eastAsia="ja-JP"/>
        </w:rPr>
        <w:t>にて閲覧またはダウンロード可能です。</w:t>
      </w:r>
    </w:p>
    <w:sectPr w:rsidR="00594DA7" w:rsidRPr="00641B2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49BC0" w14:textId="77777777" w:rsidR="004C17B5" w:rsidRDefault="004C17B5">
      <w:pPr>
        <w:spacing w:after="0" w:line="240" w:lineRule="auto"/>
      </w:pPr>
      <w:r>
        <w:separator/>
      </w:r>
    </w:p>
  </w:endnote>
  <w:endnote w:type="continuationSeparator" w:id="0">
    <w:p w14:paraId="5B2A12F2" w14:textId="77777777" w:rsidR="004C17B5" w:rsidRDefault="004C1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Mincho">
    <w:altName w:val="MS PMincho"/>
    <w:charset w:val="80"/>
    <w:family w:val="roman"/>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07023"/>
      <w:docPartObj>
        <w:docPartGallery w:val="Page Numbers (Bottom of Page)"/>
        <w:docPartUnique/>
      </w:docPartObj>
    </w:sdtPr>
    <w:sdtEndPr>
      <w:rPr>
        <w:noProof/>
      </w:rPr>
    </w:sdtEndPr>
    <w:sdtContent>
      <w:p w14:paraId="2B442FEF" w14:textId="111DAAD4" w:rsidR="00594DA7" w:rsidRDefault="00000000" w:rsidP="00641B2F">
        <w:pPr>
          <w:pStyle w:val="Footer"/>
          <w:jc w:val="center"/>
        </w:pPr>
        <w:r>
          <w:rPr>
            <w:noProof/>
          </w:rP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E6F50" w14:textId="77777777" w:rsidR="004C17B5" w:rsidRDefault="004C17B5">
      <w:pPr>
        <w:spacing w:after="0" w:line="240" w:lineRule="auto"/>
      </w:pPr>
      <w:r>
        <w:separator/>
      </w:r>
    </w:p>
  </w:footnote>
  <w:footnote w:type="continuationSeparator" w:id="0">
    <w:p w14:paraId="2BD6EEF9" w14:textId="77777777" w:rsidR="004C17B5" w:rsidRDefault="004C1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0155F"/>
    <w:multiLevelType w:val="hybridMultilevel"/>
    <w:tmpl w:val="62803DC2"/>
    <w:lvl w:ilvl="0" w:tplc="CACC87E0">
      <w:start w:val="1"/>
      <w:numFmt w:val="bullet"/>
      <w:lvlText w:val=""/>
      <w:lvlJc w:val="left"/>
      <w:pPr>
        <w:ind w:left="720" w:hanging="360"/>
      </w:pPr>
      <w:rPr>
        <w:rFonts w:ascii="Symbol" w:hAnsi="Symbol" w:hint="default"/>
      </w:rPr>
    </w:lvl>
    <w:lvl w:ilvl="1" w:tplc="30F828C0">
      <w:start w:val="1"/>
      <w:numFmt w:val="bullet"/>
      <w:lvlText w:val="o"/>
      <w:lvlJc w:val="left"/>
      <w:pPr>
        <w:ind w:left="1440" w:hanging="360"/>
      </w:pPr>
      <w:rPr>
        <w:rFonts w:ascii="Courier New" w:hAnsi="Courier New" w:hint="default"/>
      </w:rPr>
    </w:lvl>
    <w:lvl w:ilvl="2" w:tplc="A6F0CB32">
      <w:start w:val="1"/>
      <w:numFmt w:val="bullet"/>
      <w:lvlText w:val=""/>
      <w:lvlJc w:val="left"/>
      <w:pPr>
        <w:ind w:left="2160" w:hanging="360"/>
      </w:pPr>
      <w:rPr>
        <w:rFonts w:ascii="Wingdings" w:hAnsi="Wingdings" w:hint="default"/>
      </w:rPr>
    </w:lvl>
    <w:lvl w:ilvl="3" w:tplc="B608C0FC">
      <w:start w:val="1"/>
      <w:numFmt w:val="bullet"/>
      <w:lvlText w:val=""/>
      <w:lvlJc w:val="left"/>
      <w:pPr>
        <w:ind w:left="2880" w:hanging="360"/>
      </w:pPr>
      <w:rPr>
        <w:rFonts w:ascii="Symbol" w:hAnsi="Symbol" w:hint="default"/>
      </w:rPr>
    </w:lvl>
    <w:lvl w:ilvl="4" w:tplc="15E8D8D8">
      <w:start w:val="1"/>
      <w:numFmt w:val="bullet"/>
      <w:lvlText w:val="o"/>
      <w:lvlJc w:val="left"/>
      <w:pPr>
        <w:ind w:left="3600" w:hanging="360"/>
      </w:pPr>
      <w:rPr>
        <w:rFonts w:ascii="Courier New" w:hAnsi="Courier New" w:hint="default"/>
      </w:rPr>
    </w:lvl>
    <w:lvl w:ilvl="5" w:tplc="559006C2">
      <w:start w:val="1"/>
      <w:numFmt w:val="bullet"/>
      <w:lvlText w:val=""/>
      <w:lvlJc w:val="left"/>
      <w:pPr>
        <w:ind w:left="4320" w:hanging="360"/>
      </w:pPr>
      <w:rPr>
        <w:rFonts w:ascii="Wingdings" w:hAnsi="Wingdings" w:hint="default"/>
      </w:rPr>
    </w:lvl>
    <w:lvl w:ilvl="6" w:tplc="903499CC">
      <w:start w:val="1"/>
      <w:numFmt w:val="bullet"/>
      <w:lvlText w:val=""/>
      <w:lvlJc w:val="left"/>
      <w:pPr>
        <w:ind w:left="5040" w:hanging="360"/>
      </w:pPr>
      <w:rPr>
        <w:rFonts w:ascii="Symbol" w:hAnsi="Symbol" w:hint="default"/>
      </w:rPr>
    </w:lvl>
    <w:lvl w:ilvl="7" w:tplc="D6D41EE4">
      <w:start w:val="1"/>
      <w:numFmt w:val="bullet"/>
      <w:lvlText w:val="o"/>
      <w:lvlJc w:val="left"/>
      <w:pPr>
        <w:ind w:left="5760" w:hanging="360"/>
      </w:pPr>
      <w:rPr>
        <w:rFonts w:ascii="Courier New" w:hAnsi="Courier New" w:hint="default"/>
      </w:rPr>
    </w:lvl>
    <w:lvl w:ilvl="8" w:tplc="6406C9DA">
      <w:start w:val="1"/>
      <w:numFmt w:val="bullet"/>
      <w:lvlText w:val=""/>
      <w:lvlJc w:val="left"/>
      <w:pPr>
        <w:ind w:left="6480" w:hanging="360"/>
      </w:pPr>
      <w:rPr>
        <w:rFonts w:ascii="Wingdings" w:hAnsi="Wingdings" w:hint="default"/>
      </w:rPr>
    </w:lvl>
  </w:abstractNum>
  <w:abstractNum w:abstractNumId="1" w15:restartNumberingAfterBreak="0">
    <w:nsid w:val="4719CCAA"/>
    <w:multiLevelType w:val="hybridMultilevel"/>
    <w:tmpl w:val="F85A4CAC"/>
    <w:lvl w:ilvl="0" w:tplc="2B12C966">
      <w:start w:val="1"/>
      <w:numFmt w:val="bullet"/>
      <w:lvlText w:val=""/>
      <w:lvlJc w:val="left"/>
      <w:pPr>
        <w:ind w:left="720" w:hanging="360"/>
      </w:pPr>
      <w:rPr>
        <w:rFonts w:ascii="Symbol" w:hAnsi="Symbol" w:hint="default"/>
      </w:rPr>
    </w:lvl>
    <w:lvl w:ilvl="1" w:tplc="FB00CD90">
      <w:start w:val="1"/>
      <w:numFmt w:val="bullet"/>
      <w:lvlText w:val="o"/>
      <w:lvlJc w:val="left"/>
      <w:pPr>
        <w:ind w:left="1440" w:hanging="360"/>
      </w:pPr>
      <w:rPr>
        <w:rFonts w:ascii="Courier New" w:hAnsi="Courier New" w:hint="default"/>
      </w:rPr>
    </w:lvl>
    <w:lvl w:ilvl="2" w:tplc="C3B0D236">
      <w:start w:val="1"/>
      <w:numFmt w:val="bullet"/>
      <w:lvlText w:val=""/>
      <w:lvlJc w:val="left"/>
      <w:pPr>
        <w:ind w:left="2160" w:hanging="360"/>
      </w:pPr>
      <w:rPr>
        <w:rFonts w:ascii="Wingdings" w:hAnsi="Wingdings" w:hint="default"/>
      </w:rPr>
    </w:lvl>
    <w:lvl w:ilvl="3" w:tplc="F54AC08E">
      <w:start w:val="1"/>
      <w:numFmt w:val="bullet"/>
      <w:lvlText w:val=""/>
      <w:lvlJc w:val="left"/>
      <w:pPr>
        <w:ind w:left="2880" w:hanging="360"/>
      </w:pPr>
      <w:rPr>
        <w:rFonts w:ascii="Symbol" w:hAnsi="Symbol" w:hint="default"/>
      </w:rPr>
    </w:lvl>
    <w:lvl w:ilvl="4" w:tplc="B3CAFDF8">
      <w:start w:val="1"/>
      <w:numFmt w:val="bullet"/>
      <w:lvlText w:val="o"/>
      <w:lvlJc w:val="left"/>
      <w:pPr>
        <w:ind w:left="3600" w:hanging="360"/>
      </w:pPr>
      <w:rPr>
        <w:rFonts w:ascii="Courier New" w:hAnsi="Courier New" w:hint="default"/>
      </w:rPr>
    </w:lvl>
    <w:lvl w:ilvl="5" w:tplc="B97C56D2">
      <w:start w:val="1"/>
      <w:numFmt w:val="bullet"/>
      <w:lvlText w:val=""/>
      <w:lvlJc w:val="left"/>
      <w:pPr>
        <w:ind w:left="4320" w:hanging="360"/>
      </w:pPr>
      <w:rPr>
        <w:rFonts w:ascii="Wingdings" w:hAnsi="Wingdings" w:hint="default"/>
      </w:rPr>
    </w:lvl>
    <w:lvl w:ilvl="6" w:tplc="471ED6AC">
      <w:start w:val="1"/>
      <w:numFmt w:val="bullet"/>
      <w:lvlText w:val=""/>
      <w:lvlJc w:val="left"/>
      <w:pPr>
        <w:ind w:left="5040" w:hanging="360"/>
      </w:pPr>
      <w:rPr>
        <w:rFonts w:ascii="Symbol" w:hAnsi="Symbol" w:hint="default"/>
      </w:rPr>
    </w:lvl>
    <w:lvl w:ilvl="7" w:tplc="0B7CD1E4">
      <w:start w:val="1"/>
      <w:numFmt w:val="bullet"/>
      <w:lvlText w:val="o"/>
      <w:lvlJc w:val="left"/>
      <w:pPr>
        <w:ind w:left="5760" w:hanging="360"/>
      </w:pPr>
      <w:rPr>
        <w:rFonts w:ascii="Courier New" w:hAnsi="Courier New" w:hint="default"/>
      </w:rPr>
    </w:lvl>
    <w:lvl w:ilvl="8" w:tplc="91A6F396">
      <w:start w:val="1"/>
      <w:numFmt w:val="bullet"/>
      <w:lvlText w:val=""/>
      <w:lvlJc w:val="left"/>
      <w:pPr>
        <w:ind w:left="6480" w:hanging="360"/>
      </w:pPr>
      <w:rPr>
        <w:rFonts w:ascii="Wingdings" w:hAnsi="Wingdings" w:hint="default"/>
      </w:rPr>
    </w:lvl>
  </w:abstractNum>
  <w:abstractNum w:abstractNumId="2" w15:restartNumberingAfterBreak="0">
    <w:nsid w:val="5CECFCEB"/>
    <w:multiLevelType w:val="hybridMultilevel"/>
    <w:tmpl w:val="E1AE856E"/>
    <w:lvl w:ilvl="0" w:tplc="874E4226">
      <w:start w:val="1"/>
      <w:numFmt w:val="bullet"/>
      <w:lvlText w:val=""/>
      <w:lvlJc w:val="left"/>
      <w:pPr>
        <w:ind w:left="720" w:hanging="360"/>
      </w:pPr>
      <w:rPr>
        <w:rFonts w:ascii="Symbol" w:hAnsi="Symbol" w:hint="default"/>
      </w:rPr>
    </w:lvl>
    <w:lvl w:ilvl="1" w:tplc="2CD42A80">
      <w:start w:val="1"/>
      <w:numFmt w:val="bullet"/>
      <w:lvlText w:val="o"/>
      <w:lvlJc w:val="left"/>
      <w:pPr>
        <w:ind w:left="1440" w:hanging="360"/>
      </w:pPr>
      <w:rPr>
        <w:rFonts w:ascii="Courier New" w:hAnsi="Courier New" w:hint="default"/>
      </w:rPr>
    </w:lvl>
    <w:lvl w:ilvl="2" w:tplc="E2F68472">
      <w:start w:val="1"/>
      <w:numFmt w:val="bullet"/>
      <w:lvlText w:val=""/>
      <w:lvlJc w:val="left"/>
      <w:pPr>
        <w:ind w:left="2160" w:hanging="360"/>
      </w:pPr>
      <w:rPr>
        <w:rFonts w:ascii="Wingdings" w:hAnsi="Wingdings" w:hint="default"/>
      </w:rPr>
    </w:lvl>
    <w:lvl w:ilvl="3" w:tplc="8B92DAE6">
      <w:start w:val="1"/>
      <w:numFmt w:val="bullet"/>
      <w:lvlText w:val=""/>
      <w:lvlJc w:val="left"/>
      <w:pPr>
        <w:ind w:left="2880" w:hanging="360"/>
      </w:pPr>
      <w:rPr>
        <w:rFonts w:ascii="Symbol" w:hAnsi="Symbol" w:hint="default"/>
      </w:rPr>
    </w:lvl>
    <w:lvl w:ilvl="4" w:tplc="52DA046A">
      <w:start w:val="1"/>
      <w:numFmt w:val="bullet"/>
      <w:lvlText w:val="o"/>
      <w:lvlJc w:val="left"/>
      <w:pPr>
        <w:ind w:left="3600" w:hanging="360"/>
      </w:pPr>
      <w:rPr>
        <w:rFonts w:ascii="Courier New" w:hAnsi="Courier New" w:hint="default"/>
      </w:rPr>
    </w:lvl>
    <w:lvl w:ilvl="5" w:tplc="B75E3834">
      <w:start w:val="1"/>
      <w:numFmt w:val="bullet"/>
      <w:lvlText w:val=""/>
      <w:lvlJc w:val="left"/>
      <w:pPr>
        <w:ind w:left="4320" w:hanging="360"/>
      </w:pPr>
      <w:rPr>
        <w:rFonts w:ascii="Wingdings" w:hAnsi="Wingdings" w:hint="default"/>
      </w:rPr>
    </w:lvl>
    <w:lvl w:ilvl="6" w:tplc="85104E6C">
      <w:start w:val="1"/>
      <w:numFmt w:val="bullet"/>
      <w:lvlText w:val=""/>
      <w:lvlJc w:val="left"/>
      <w:pPr>
        <w:ind w:left="5040" w:hanging="360"/>
      </w:pPr>
      <w:rPr>
        <w:rFonts w:ascii="Symbol" w:hAnsi="Symbol" w:hint="default"/>
      </w:rPr>
    </w:lvl>
    <w:lvl w:ilvl="7" w:tplc="D4A0BC1C">
      <w:start w:val="1"/>
      <w:numFmt w:val="bullet"/>
      <w:lvlText w:val="o"/>
      <w:lvlJc w:val="left"/>
      <w:pPr>
        <w:ind w:left="5760" w:hanging="360"/>
      </w:pPr>
      <w:rPr>
        <w:rFonts w:ascii="Courier New" w:hAnsi="Courier New" w:hint="default"/>
      </w:rPr>
    </w:lvl>
    <w:lvl w:ilvl="8" w:tplc="280EF59E">
      <w:start w:val="1"/>
      <w:numFmt w:val="bullet"/>
      <w:lvlText w:val=""/>
      <w:lvlJc w:val="left"/>
      <w:pPr>
        <w:ind w:left="6480" w:hanging="360"/>
      </w:pPr>
      <w:rPr>
        <w:rFonts w:ascii="Wingdings" w:hAnsi="Wingdings" w:hint="default"/>
      </w:rPr>
    </w:lvl>
  </w:abstractNum>
  <w:abstractNum w:abstractNumId="3" w15:restartNumberingAfterBreak="0">
    <w:nsid w:val="660E7467"/>
    <w:multiLevelType w:val="hybridMultilevel"/>
    <w:tmpl w:val="873EF21C"/>
    <w:lvl w:ilvl="0" w:tplc="0E4CF21A">
      <w:start w:val="1"/>
      <w:numFmt w:val="bullet"/>
      <w:lvlText w:val=""/>
      <w:lvlJc w:val="left"/>
      <w:pPr>
        <w:ind w:left="720" w:hanging="360"/>
      </w:pPr>
      <w:rPr>
        <w:rFonts w:ascii="Symbol" w:hAnsi="Symbol" w:hint="default"/>
      </w:rPr>
    </w:lvl>
    <w:lvl w:ilvl="1" w:tplc="51048220">
      <w:start w:val="1"/>
      <w:numFmt w:val="bullet"/>
      <w:lvlText w:val="o"/>
      <w:lvlJc w:val="left"/>
      <w:pPr>
        <w:ind w:left="1440" w:hanging="360"/>
      </w:pPr>
      <w:rPr>
        <w:rFonts w:ascii="Courier New" w:hAnsi="Courier New" w:hint="default"/>
      </w:rPr>
    </w:lvl>
    <w:lvl w:ilvl="2" w:tplc="8CF0467A">
      <w:start w:val="1"/>
      <w:numFmt w:val="bullet"/>
      <w:lvlText w:val=""/>
      <w:lvlJc w:val="left"/>
      <w:pPr>
        <w:ind w:left="2160" w:hanging="360"/>
      </w:pPr>
      <w:rPr>
        <w:rFonts w:ascii="Wingdings" w:hAnsi="Wingdings" w:hint="default"/>
      </w:rPr>
    </w:lvl>
    <w:lvl w:ilvl="3" w:tplc="43E289E4">
      <w:start w:val="1"/>
      <w:numFmt w:val="bullet"/>
      <w:lvlText w:val=""/>
      <w:lvlJc w:val="left"/>
      <w:pPr>
        <w:ind w:left="2880" w:hanging="360"/>
      </w:pPr>
      <w:rPr>
        <w:rFonts w:ascii="Symbol" w:hAnsi="Symbol" w:hint="default"/>
      </w:rPr>
    </w:lvl>
    <w:lvl w:ilvl="4" w:tplc="61C2D6B0">
      <w:start w:val="1"/>
      <w:numFmt w:val="bullet"/>
      <w:lvlText w:val="o"/>
      <w:lvlJc w:val="left"/>
      <w:pPr>
        <w:ind w:left="3600" w:hanging="360"/>
      </w:pPr>
      <w:rPr>
        <w:rFonts w:ascii="Courier New" w:hAnsi="Courier New" w:hint="default"/>
      </w:rPr>
    </w:lvl>
    <w:lvl w:ilvl="5" w:tplc="B33EF5EC">
      <w:start w:val="1"/>
      <w:numFmt w:val="bullet"/>
      <w:lvlText w:val=""/>
      <w:lvlJc w:val="left"/>
      <w:pPr>
        <w:ind w:left="4320" w:hanging="360"/>
      </w:pPr>
      <w:rPr>
        <w:rFonts w:ascii="Wingdings" w:hAnsi="Wingdings" w:hint="default"/>
      </w:rPr>
    </w:lvl>
    <w:lvl w:ilvl="6" w:tplc="E3ACD284">
      <w:start w:val="1"/>
      <w:numFmt w:val="bullet"/>
      <w:lvlText w:val=""/>
      <w:lvlJc w:val="left"/>
      <w:pPr>
        <w:ind w:left="5040" w:hanging="360"/>
      </w:pPr>
      <w:rPr>
        <w:rFonts w:ascii="Symbol" w:hAnsi="Symbol" w:hint="default"/>
      </w:rPr>
    </w:lvl>
    <w:lvl w:ilvl="7" w:tplc="9B3A69CE">
      <w:start w:val="1"/>
      <w:numFmt w:val="bullet"/>
      <w:lvlText w:val="o"/>
      <w:lvlJc w:val="left"/>
      <w:pPr>
        <w:ind w:left="5760" w:hanging="360"/>
      </w:pPr>
      <w:rPr>
        <w:rFonts w:ascii="Courier New" w:hAnsi="Courier New" w:hint="default"/>
      </w:rPr>
    </w:lvl>
    <w:lvl w:ilvl="8" w:tplc="60B0D6EE">
      <w:start w:val="1"/>
      <w:numFmt w:val="bullet"/>
      <w:lvlText w:val=""/>
      <w:lvlJc w:val="left"/>
      <w:pPr>
        <w:ind w:left="6480" w:hanging="360"/>
      </w:pPr>
      <w:rPr>
        <w:rFonts w:ascii="Wingdings" w:hAnsi="Wingdings" w:hint="default"/>
      </w:rPr>
    </w:lvl>
  </w:abstractNum>
  <w:abstractNum w:abstractNumId="4" w15:restartNumberingAfterBreak="0">
    <w:nsid w:val="75DD324C"/>
    <w:multiLevelType w:val="hybridMultilevel"/>
    <w:tmpl w:val="0346D0C2"/>
    <w:lvl w:ilvl="0" w:tplc="58C4C0C0">
      <w:start w:val="1"/>
      <w:numFmt w:val="bullet"/>
      <w:lvlText w:val=""/>
      <w:lvlJc w:val="left"/>
      <w:pPr>
        <w:ind w:left="720" w:hanging="360"/>
      </w:pPr>
      <w:rPr>
        <w:rFonts w:ascii="Symbol" w:hAnsi="Symbol" w:hint="default"/>
      </w:rPr>
    </w:lvl>
    <w:lvl w:ilvl="1" w:tplc="0824BA38">
      <w:start w:val="1"/>
      <w:numFmt w:val="bullet"/>
      <w:lvlText w:val="o"/>
      <w:lvlJc w:val="left"/>
      <w:pPr>
        <w:ind w:left="1440" w:hanging="360"/>
      </w:pPr>
      <w:rPr>
        <w:rFonts w:ascii="Courier New" w:hAnsi="Courier New" w:hint="default"/>
      </w:rPr>
    </w:lvl>
    <w:lvl w:ilvl="2" w:tplc="8514E4E0">
      <w:start w:val="1"/>
      <w:numFmt w:val="bullet"/>
      <w:lvlText w:val=""/>
      <w:lvlJc w:val="left"/>
      <w:pPr>
        <w:ind w:left="2160" w:hanging="360"/>
      </w:pPr>
      <w:rPr>
        <w:rFonts w:ascii="Wingdings" w:hAnsi="Wingdings" w:hint="default"/>
      </w:rPr>
    </w:lvl>
    <w:lvl w:ilvl="3" w:tplc="E3F60682">
      <w:start w:val="1"/>
      <w:numFmt w:val="bullet"/>
      <w:lvlText w:val=""/>
      <w:lvlJc w:val="left"/>
      <w:pPr>
        <w:ind w:left="2880" w:hanging="360"/>
      </w:pPr>
      <w:rPr>
        <w:rFonts w:ascii="Symbol" w:hAnsi="Symbol" w:hint="default"/>
      </w:rPr>
    </w:lvl>
    <w:lvl w:ilvl="4" w:tplc="123CD800">
      <w:start w:val="1"/>
      <w:numFmt w:val="bullet"/>
      <w:lvlText w:val="o"/>
      <w:lvlJc w:val="left"/>
      <w:pPr>
        <w:ind w:left="3600" w:hanging="360"/>
      </w:pPr>
      <w:rPr>
        <w:rFonts w:ascii="Courier New" w:hAnsi="Courier New" w:hint="default"/>
      </w:rPr>
    </w:lvl>
    <w:lvl w:ilvl="5" w:tplc="1C96F2FC">
      <w:start w:val="1"/>
      <w:numFmt w:val="bullet"/>
      <w:lvlText w:val=""/>
      <w:lvlJc w:val="left"/>
      <w:pPr>
        <w:ind w:left="4320" w:hanging="360"/>
      </w:pPr>
      <w:rPr>
        <w:rFonts w:ascii="Wingdings" w:hAnsi="Wingdings" w:hint="default"/>
      </w:rPr>
    </w:lvl>
    <w:lvl w:ilvl="6" w:tplc="37FE7BE6">
      <w:start w:val="1"/>
      <w:numFmt w:val="bullet"/>
      <w:lvlText w:val=""/>
      <w:lvlJc w:val="left"/>
      <w:pPr>
        <w:ind w:left="5040" w:hanging="360"/>
      </w:pPr>
      <w:rPr>
        <w:rFonts w:ascii="Symbol" w:hAnsi="Symbol" w:hint="default"/>
      </w:rPr>
    </w:lvl>
    <w:lvl w:ilvl="7" w:tplc="9C028F3C">
      <w:start w:val="1"/>
      <w:numFmt w:val="bullet"/>
      <w:lvlText w:val="o"/>
      <w:lvlJc w:val="left"/>
      <w:pPr>
        <w:ind w:left="5760" w:hanging="360"/>
      </w:pPr>
      <w:rPr>
        <w:rFonts w:ascii="Courier New" w:hAnsi="Courier New" w:hint="default"/>
      </w:rPr>
    </w:lvl>
    <w:lvl w:ilvl="8" w:tplc="97E6FEB0">
      <w:start w:val="1"/>
      <w:numFmt w:val="bullet"/>
      <w:lvlText w:val=""/>
      <w:lvlJc w:val="left"/>
      <w:pPr>
        <w:ind w:left="6480" w:hanging="360"/>
      </w:pPr>
      <w:rPr>
        <w:rFonts w:ascii="Wingdings" w:hAnsi="Wingdings" w:hint="default"/>
      </w:rPr>
    </w:lvl>
  </w:abstractNum>
  <w:abstractNum w:abstractNumId="5" w15:restartNumberingAfterBreak="0">
    <w:nsid w:val="795140EE"/>
    <w:multiLevelType w:val="hybridMultilevel"/>
    <w:tmpl w:val="19F2BF8E"/>
    <w:lvl w:ilvl="0" w:tplc="3BFC9C48">
      <w:start w:val="1"/>
      <w:numFmt w:val="bullet"/>
      <w:lvlText w:val=""/>
      <w:lvlJc w:val="left"/>
      <w:pPr>
        <w:ind w:left="720" w:hanging="360"/>
      </w:pPr>
      <w:rPr>
        <w:rFonts w:ascii="Symbol" w:hAnsi="Symbol" w:hint="default"/>
      </w:rPr>
    </w:lvl>
    <w:lvl w:ilvl="1" w:tplc="2432F35A">
      <w:start w:val="1"/>
      <w:numFmt w:val="bullet"/>
      <w:lvlText w:val="o"/>
      <w:lvlJc w:val="left"/>
      <w:pPr>
        <w:ind w:left="1440" w:hanging="360"/>
      </w:pPr>
      <w:rPr>
        <w:rFonts w:ascii="Courier New" w:hAnsi="Courier New" w:hint="default"/>
      </w:rPr>
    </w:lvl>
    <w:lvl w:ilvl="2" w:tplc="6FD22EEE">
      <w:start w:val="1"/>
      <w:numFmt w:val="bullet"/>
      <w:lvlText w:val=""/>
      <w:lvlJc w:val="left"/>
      <w:pPr>
        <w:ind w:left="2160" w:hanging="360"/>
      </w:pPr>
      <w:rPr>
        <w:rFonts w:ascii="Wingdings" w:hAnsi="Wingdings" w:hint="default"/>
      </w:rPr>
    </w:lvl>
    <w:lvl w:ilvl="3" w:tplc="EB26D760">
      <w:start w:val="1"/>
      <w:numFmt w:val="bullet"/>
      <w:lvlText w:val=""/>
      <w:lvlJc w:val="left"/>
      <w:pPr>
        <w:ind w:left="2880" w:hanging="360"/>
      </w:pPr>
      <w:rPr>
        <w:rFonts w:ascii="Symbol" w:hAnsi="Symbol" w:hint="default"/>
      </w:rPr>
    </w:lvl>
    <w:lvl w:ilvl="4" w:tplc="318885C0">
      <w:start w:val="1"/>
      <w:numFmt w:val="bullet"/>
      <w:lvlText w:val="o"/>
      <w:lvlJc w:val="left"/>
      <w:pPr>
        <w:ind w:left="3600" w:hanging="360"/>
      </w:pPr>
      <w:rPr>
        <w:rFonts w:ascii="Courier New" w:hAnsi="Courier New" w:hint="default"/>
      </w:rPr>
    </w:lvl>
    <w:lvl w:ilvl="5" w:tplc="7E4CB732">
      <w:start w:val="1"/>
      <w:numFmt w:val="bullet"/>
      <w:lvlText w:val=""/>
      <w:lvlJc w:val="left"/>
      <w:pPr>
        <w:ind w:left="4320" w:hanging="360"/>
      </w:pPr>
      <w:rPr>
        <w:rFonts w:ascii="Wingdings" w:hAnsi="Wingdings" w:hint="default"/>
      </w:rPr>
    </w:lvl>
    <w:lvl w:ilvl="6" w:tplc="8AF8EA16">
      <w:start w:val="1"/>
      <w:numFmt w:val="bullet"/>
      <w:lvlText w:val=""/>
      <w:lvlJc w:val="left"/>
      <w:pPr>
        <w:ind w:left="5040" w:hanging="360"/>
      </w:pPr>
      <w:rPr>
        <w:rFonts w:ascii="Symbol" w:hAnsi="Symbol" w:hint="default"/>
      </w:rPr>
    </w:lvl>
    <w:lvl w:ilvl="7" w:tplc="040812A4">
      <w:start w:val="1"/>
      <w:numFmt w:val="bullet"/>
      <w:lvlText w:val="o"/>
      <w:lvlJc w:val="left"/>
      <w:pPr>
        <w:ind w:left="5760" w:hanging="360"/>
      </w:pPr>
      <w:rPr>
        <w:rFonts w:ascii="Courier New" w:hAnsi="Courier New" w:hint="default"/>
      </w:rPr>
    </w:lvl>
    <w:lvl w:ilvl="8" w:tplc="70FCF608">
      <w:start w:val="1"/>
      <w:numFmt w:val="bullet"/>
      <w:lvlText w:val=""/>
      <w:lvlJc w:val="left"/>
      <w:pPr>
        <w:ind w:left="6480" w:hanging="360"/>
      </w:pPr>
      <w:rPr>
        <w:rFonts w:ascii="Wingdings" w:hAnsi="Wingdings" w:hint="default"/>
      </w:rPr>
    </w:lvl>
  </w:abstractNum>
  <w:num w:numId="1" w16cid:durableId="1512178807">
    <w:abstractNumId w:val="5"/>
  </w:num>
  <w:num w:numId="2" w16cid:durableId="1475636466">
    <w:abstractNumId w:val="0"/>
  </w:num>
  <w:num w:numId="3" w16cid:durableId="1484348844">
    <w:abstractNumId w:val="3"/>
  </w:num>
  <w:num w:numId="4" w16cid:durableId="1083797151">
    <w:abstractNumId w:val="1"/>
  </w:num>
  <w:num w:numId="5" w16cid:durableId="1824083286">
    <w:abstractNumId w:val="2"/>
  </w:num>
  <w:num w:numId="6" w16cid:durableId="336226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A7"/>
    <w:rsid w:val="001C2E83"/>
    <w:rsid w:val="001F132D"/>
    <w:rsid w:val="00431EAA"/>
    <w:rsid w:val="004C17B5"/>
    <w:rsid w:val="00594DA7"/>
    <w:rsid w:val="006044B2"/>
    <w:rsid w:val="00641B2F"/>
    <w:rsid w:val="00864A03"/>
    <w:rsid w:val="00EC4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98B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E83"/>
    <w:pPr>
      <w:keepNext/>
      <w:keepLines/>
      <w:spacing w:after="280"/>
      <w:outlineLvl w:val="0"/>
    </w:pPr>
    <w:rPr>
      <w:rFonts w:ascii="Times New Roman" w:eastAsia="MS PMincho" w:hAnsi="Times New Roman" w:cs="MS UI Gothic"/>
      <w:b/>
      <w:bCs/>
      <w:color w:val="1B1B1B"/>
      <w:sz w:val="24"/>
      <w:szCs w:val="24"/>
      <w:lang w:eastAsia="ja-JP"/>
    </w:rPr>
  </w:style>
  <w:style w:type="paragraph" w:styleId="Heading2">
    <w:name w:val="heading 2"/>
    <w:basedOn w:val="Normal"/>
    <w:next w:val="Normal"/>
    <w:link w:val="Heading2Char"/>
    <w:uiPriority w:val="9"/>
    <w:unhideWhenUsed/>
    <w:qFormat/>
    <w:rsid w:val="001C2E83"/>
    <w:pPr>
      <w:keepNext/>
      <w:keepLines/>
      <w:spacing w:before="40" w:after="240" w:line="257" w:lineRule="auto"/>
      <w:ind w:left="-14" w:right="-14"/>
      <w:outlineLvl w:val="1"/>
    </w:pPr>
    <w:rPr>
      <w:rFonts w:ascii="Times New Roman" w:eastAsia="MS PMincho" w:hAnsi="Times New Roman" w:cs="MS UI Gothic"/>
      <w:b/>
      <w:bCs/>
      <w:color w:val="1B1B1B"/>
      <w:sz w:val="24"/>
      <w:szCs w:val="24"/>
      <w:lang w:eastAsia="ja-JP"/>
    </w:rPr>
  </w:style>
  <w:style w:type="paragraph" w:styleId="Heading3">
    <w:name w:val="heading 3"/>
    <w:basedOn w:val="Normal"/>
    <w:next w:val="Normal"/>
    <w:link w:val="Heading3Char"/>
    <w:uiPriority w:val="9"/>
    <w:unhideWhenUsed/>
    <w:qFormat/>
    <w:rsid w:val="00641B2F"/>
    <w:pPr>
      <w:spacing w:after="240" w:line="257" w:lineRule="auto"/>
      <w:ind w:left="-14" w:right="-14"/>
      <w:outlineLvl w:val="2"/>
    </w:pPr>
    <w:rPr>
      <w:rFonts w:ascii="Times New Roman" w:eastAsia="MS PMincho" w:hAnsi="Times New Roman" w:cs="MS UI Gothic"/>
      <w:b/>
      <w:bCs/>
      <w:color w:val="1B1B1B"/>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E83"/>
    <w:rPr>
      <w:rFonts w:ascii="Times New Roman" w:eastAsia="MS PMincho" w:hAnsi="Times New Roman" w:cs="MS UI Gothic"/>
      <w:b/>
      <w:bCs/>
      <w:color w:val="1B1B1B"/>
      <w:sz w:val="24"/>
      <w:szCs w:val="24"/>
      <w:lang w:eastAsia="ja-JP"/>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sid w:val="001C2E83"/>
    <w:rPr>
      <w:rFonts w:ascii="Times New Roman" w:eastAsia="MS PMincho" w:hAnsi="Times New Roman" w:cs="MS UI Gothic"/>
      <w:b/>
      <w:bCs/>
      <w:color w:val="1B1B1B"/>
      <w:sz w:val="24"/>
      <w:szCs w:val="24"/>
      <w:lang w:eastAsia="ja-JP"/>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normaltextrun">
    <w:name w:val="normaltextrun"/>
    <w:basedOn w:val="DefaultParagraphFon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character" w:customStyle="1" w:styleId="Heading3Char">
    <w:name w:val="Heading 3 Char"/>
    <w:basedOn w:val="DefaultParagraphFont"/>
    <w:link w:val="Heading3"/>
    <w:uiPriority w:val="9"/>
    <w:rsid w:val="00641B2F"/>
    <w:rPr>
      <w:rFonts w:ascii="Times New Roman" w:eastAsia="MS PMincho" w:hAnsi="Times New Roman" w:cs="MS UI Gothic"/>
      <w:b/>
      <w:bCs/>
      <w:color w:val="1B1B1B"/>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20/06/19/2020-11758/nondiscrimination-in-health-and-health-education-programs-or-activities-delegation-of-authority" TargetMode="External"/><Relationship Id="rId18" Type="http://schemas.openxmlformats.org/officeDocument/2006/relationships/hyperlink" Target="https://uscode.house.gov/view.xhtml?path=/prelim@title42/chapter76&amp;edition=preli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crportal.hhs.gov/ocr/smartscreen/main.jsf" TargetMode="External"/><Relationship Id="rId17" Type="http://schemas.openxmlformats.org/officeDocument/2006/relationships/hyperlink" Target="https://uscode.house.gov/view.xhtml?path=/prelim@title20/chapter38&amp;edition=prelim" TargetMode="External"/><Relationship Id="rId2" Type="http://schemas.openxmlformats.org/officeDocument/2006/relationships/customXml" Target="../customXml/item2.xml"/><Relationship Id="rId16" Type="http://schemas.openxmlformats.org/officeDocument/2006/relationships/hyperlink" Target="https://uscode.house.gov/view.xhtml?req=granuleid:USC-prelim-title29-section794&amp;num=0&amp;edition=preli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code.house.gov/view.xhtml?req=(title:42%20section:18116%20edition:prelim)" TargetMode="External"/><Relationship Id="rId5" Type="http://schemas.openxmlformats.org/officeDocument/2006/relationships/numbering" Target="numbering.xml"/><Relationship Id="rId15" Type="http://schemas.openxmlformats.org/officeDocument/2006/relationships/hyperlink" Target="https://uscode.house.gov/view.xhtml?path=/prelim@title42/chapter21/subchapter5&amp;edition=prelim" TargetMode="External"/><Relationship Id="rId10" Type="http://schemas.openxmlformats.org/officeDocument/2006/relationships/endnotes" Target="endnotes.xml"/><Relationship Id="rId19" Type="http://schemas.openxmlformats.org/officeDocument/2006/relationships/hyperlink" Target="https://gcc02.safelinks.protection.outlook.com/?url=https%3A%2F%2Fwww.hhs.gov%2Fcivil-rights%2Ffor-individuals%2Fsection-1557%2Findex.html&amp;data=05%7C02%7CKate.Sweeney%40hhs.gov%7Cde677175a67c4bf03b6a08dc655fc0a9%7Cd58addea50534a808499ba4d944910df%7C0%7C0%7C638496709134090269%7CUnknown%7CTWFpbGZsb3d8eyJWIjoiMC4wLjAwMDAiLCJQIjoiV2luMzIiLCJBTiI6Ik1haWwiLCJXVCI6Mn0%3D%7C0%7C%7C%7C&amp;sdata=vRkCj5cv4QI0H0uIPtwbKZNCDNxaPle9sj%2B5pEETkHk%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premecourt.gov/opinions/19pdf/17-1618_hfci.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8" ma:contentTypeDescription="Create a new document." ma:contentTypeScope="" ma:versionID="957bf80ccb59142152796781aa2f24be">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22d913709c6fd4d194f46c8cd5cca718"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e" minOccurs="0"/>
                <xsd:element ref="ns2:Notes" minOccurs="0"/>
                <xsd:element ref="ns2:Finalvers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Notes" ma:index="21" nillable="true" ma:displayName="Notes" ma:format="Dropdown" ma:internalName="Notes">
      <xsd:simpleType>
        <xsd:restriction base="dms:Note">
          <xsd:maxLength value="255"/>
        </xsd:restriction>
      </xsd:simpleType>
    </xsd:element>
    <xsd:element name="Finalversion" ma:index="22" nillable="true" ma:displayName="Final version" ma:default="1" ma:format="Dropdown" ma:internalName="Finalversion">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280586-07de-4c8e-830b-710be8a7978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3c1caa5a-c780-48ca-a6c9-b482f661779f" xsi:nil="true"/>
    <TaxCatchAll xmlns="8e93af26-c2f7-4713-98b4-0ec2b43fceef" xsi:nil="true"/>
    <Finalversion xmlns="3c1caa5a-c780-48ca-a6c9-b482f661779f">true</Finalversion>
    <Date xmlns="3c1caa5a-c780-48ca-a6c9-b482f661779f" xsi:nil="true"/>
    <lcf76f155ced4ddcb4097134ff3c332f xmlns="3c1caa5a-c780-48ca-a6c9-b482f6617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6A947F-F7B6-4181-A839-F8FB7C7C0D00}">
  <ds:schemaRefs>
    <ds:schemaRef ds:uri="http://schemas.microsoft.com/sharepoint/v3/contenttype/forms"/>
  </ds:schemaRefs>
</ds:datastoreItem>
</file>

<file path=customXml/itemProps2.xml><?xml version="1.0" encoding="utf-8"?>
<ds:datastoreItem xmlns:ds="http://schemas.openxmlformats.org/officeDocument/2006/customXml" ds:itemID="{0AEF2E40-685A-4CE9-B89B-381BD877B854}">
  <ds:schemaRefs>
    <ds:schemaRef ds:uri="http://schemas.openxmlformats.org/officeDocument/2006/bibliography"/>
  </ds:schemaRefs>
</ds:datastoreItem>
</file>

<file path=customXml/itemProps3.xml><?xml version="1.0" encoding="utf-8"?>
<ds:datastoreItem xmlns:ds="http://schemas.openxmlformats.org/officeDocument/2006/customXml" ds:itemID="{80628647-8704-4EF8-B85E-2EE57AB49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0B76A-EC8B-428E-9A9E-E5714871905C}">
  <ds:schemaRefs>
    <ds:schemaRef ds:uri="http://schemas.microsoft.com/office/2006/metadata/properties"/>
    <ds:schemaRef ds:uri="http://schemas.microsoft.com/office/infopath/2007/PartnerControls"/>
    <ds:schemaRef ds:uri="3c1caa5a-c780-48ca-a6c9-b482f661779f"/>
    <ds:schemaRef ds:uri="8e93af26-c2f7-4713-98b4-0ec2b43fceef"/>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4089</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ACA Section 1557 Fact Sheet_Japanese</vt: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Section 1557 Fact Sheet_Japanese</dc:title>
  <dc:creator/>
  <cp:lastModifiedBy/>
  <cp:revision>1</cp:revision>
  <dcterms:created xsi:type="dcterms:W3CDTF">2024-04-25T13:25:00Z</dcterms:created>
  <dcterms:modified xsi:type="dcterms:W3CDTF">2024-04-25T21:02:00Z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