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47F5" w14:textId="47A97AC0" w:rsidR="00326425" w:rsidRPr="002B299D" w:rsidRDefault="00326425" w:rsidP="005F6A36">
      <w:pPr>
        <w:pStyle w:val="Heading1"/>
        <w:rPr>
          <w:rFonts w:eastAsiaTheme="minorHAnsi"/>
        </w:rPr>
      </w:pPr>
      <w:r w:rsidRPr="002B299D">
        <w:rPr>
          <w:rFonts w:eastAsiaTheme="minorHAnsi"/>
        </w:rPr>
        <w:t>State Assistive Technology Act Program</w:t>
      </w:r>
    </w:p>
    <w:p w14:paraId="5B18D76C" w14:textId="00D1B8A3" w:rsidR="00496103" w:rsidRDefault="008753A1" w:rsidP="004D46CF">
      <w:pPr>
        <w:pStyle w:val="Heading1"/>
      </w:pPr>
      <w:r>
        <w:t>COVID-19 Emergency Response</w:t>
      </w:r>
    </w:p>
    <w:p w14:paraId="48A64A2C" w14:textId="1655227D" w:rsidR="006A3E64" w:rsidRDefault="006A3E64" w:rsidP="004D46CF">
      <w:pPr>
        <w:pStyle w:val="Heading1"/>
      </w:pPr>
      <w:r>
        <w:t>Frequently Asked Questions</w:t>
      </w:r>
    </w:p>
    <w:p w14:paraId="56B0B44B" w14:textId="67C12485" w:rsidR="006A3E64" w:rsidRDefault="006A3E64"/>
    <w:p w14:paraId="658FD9ED" w14:textId="77777777" w:rsidR="002B0DAB" w:rsidRDefault="002B0DAB"/>
    <w:p w14:paraId="665D8FC7" w14:textId="6D9CB4E4" w:rsidR="00410457" w:rsidRDefault="008F69C9" w:rsidP="00410457">
      <w:pPr>
        <w:pStyle w:val="ListParagraph"/>
        <w:numPr>
          <w:ilvl w:val="0"/>
          <w:numId w:val="1"/>
        </w:numPr>
      </w:pPr>
      <w:r>
        <w:t>Can State/</w:t>
      </w:r>
      <w:r w:rsidR="00763290">
        <w:t>Territory A</w:t>
      </w:r>
      <w:r w:rsidR="00410457">
        <w:t xml:space="preserve">T Programs purchase additional supplies and equipment needed to respond to the current emergency situation? </w:t>
      </w:r>
    </w:p>
    <w:p w14:paraId="76E0F65D" w14:textId="77777777" w:rsidR="005E25E7" w:rsidRDefault="005E25E7" w:rsidP="005E25E7">
      <w:pPr>
        <w:pStyle w:val="ListParagraph"/>
        <w:ind w:left="360"/>
      </w:pPr>
    </w:p>
    <w:p w14:paraId="2E61BCA8" w14:textId="134A6907" w:rsidR="00410457" w:rsidRPr="007A6E65" w:rsidRDefault="00410457" w:rsidP="00410457">
      <w:pPr>
        <w:ind w:left="720"/>
        <w:rPr>
          <w:i/>
          <w:iCs/>
        </w:rPr>
      </w:pPr>
      <w:r>
        <w:rPr>
          <w:i/>
          <w:iCs/>
        </w:rPr>
        <w:t>Yes</w:t>
      </w:r>
      <w:r w:rsidRPr="00FD2E42">
        <w:rPr>
          <w:i/>
          <w:iCs/>
        </w:rPr>
        <w:t xml:space="preserve">. </w:t>
      </w:r>
      <w:r>
        <w:rPr>
          <w:i/>
          <w:iCs/>
        </w:rPr>
        <w:t xml:space="preserve">State </w:t>
      </w:r>
      <w:r w:rsidR="00B52700">
        <w:rPr>
          <w:i/>
          <w:iCs/>
        </w:rPr>
        <w:t xml:space="preserve">and Territory </w:t>
      </w:r>
      <w:r>
        <w:rPr>
          <w:i/>
          <w:iCs/>
        </w:rPr>
        <w:t>A</w:t>
      </w:r>
      <w:r w:rsidR="00763290">
        <w:rPr>
          <w:i/>
          <w:iCs/>
        </w:rPr>
        <w:t xml:space="preserve">ssistive </w:t>
      </w:r>
      <w:r>
        <w:rPr>
          <w:i/>
          <w:iCs/>
        </w:rPr>
        <w:t>T</w:t>
      </w:r>
      <w:r w:rsidR="00763290">
        <w:rPr>
          <w:i/>
          <w:iCs/>
        </w:rPr>
        <w:t>echnology</w:t>
      </w:r>
      <w:r>
        <w:rPr>
          <w:i/>
          <w:iCs/>
        </w:rPr>
        <w:t xml:space="preserve"> Programs </w:t>
      </w:r>
      <w:r w:rsidR="005E25E7">
        <w:rPr>
          <w:i/>
          <w:iCs/>
        </w:rPr>
        <w:t xml:space="preserve">funded under Section 4 of the Assistive Technology Act of 1998, as amended (AT Act of 2004) </w:t>
      </w:r>
      <w:r w:rsidRPr="00FD2E42">
        <w:rPr>
          <w:i/>
          <w:iCs/>
        </w:rPr>
        <w:t xml:space="preserve">are able to reallocate </w:t>
      </w:r>
      <w:r w:rsidR="005E25E7">
        <w:rPr>
          <w:i/>
          <w:iCs/>
        </w:rPr>
        <w:t xml:space="preserve">funds for the state-level and state leadership activities conducted under </w:t>
      </w:r>
      <w:r w:rsidRPr="00FD2E42">
        <w:rPr>
          <w:i/>
          <w:iCs/>
        </w:rPr>
        <w:t xml:space="preserve">Section 4 to utilize them as needed to support reconfigured Section 4 activities in response to the emergency situation. </w:t>
      </w:r>
      <w:r>
        <w:rPr>
          <w:i/>
          <w:iCs/>
        </w:rPr>
        <w:t xml:space="preserve">As a formula funded program, Section 4 grantees do not need federal approval to modify budget allocations for grant award funding. Items </w:t>
      </w:r>
      <w:r w:rsidRPr="007A6E65">
        <w:rPr>
          <w:i/>
          <w:iCs/>
        </w:rPr>
        <w:t>that might need to be purchased due to the emergency situation include sanit</w:t>
      </w:r>
      <w:r w:rsidR="00192445">
        <w:rPr>
          <w:i/>
          <w:iCs/>
        </w:rPr>
        <w:t>iz</w:t>
      </w:r>
      <w:r w:rsidRPr="007A6E65">
        <w:rPr>
          <w:i/>
          <w:iCs/>
        </w:rPr>
        <w:t>ation</w:t>
      </w:r>
      <w:r>
        <w:rPr>
          <w:i/>
          <w:iCs/>
        </w:rPr>
        <w:t>/sterilization</w:t>
      </w:r>
      <w:r w:rsidRPr="007A6E65">
        <w:rPr>
          <w:i/>
          <w:iCs/>
        </w:rPr>
        <w:t xml:space="preserve"> supplies, additional AT device inventory, </w:t>
      </w:r>
      <w:r>
        <w:rPr>
          <w:i/>
          <w:iCs/>
        </w:rPr>
        <w:t xml:space="preserve">telework and teleservice related </w:t>
      </w:r>
      <w:r w:rsidRPr="007A6E65">
        <w:rPr>
          <w:i/>
          <w:iCs/>
        </w:rPr>
        <w:t>equipment</w:t>
      </w:r>
      <w:r>
        <w:rPr>
          <w:i/>
          <w:iCs/>
        </w:rPr>
        <w:t xml:space="preserve"> and services</w:t>
      </w:r>
      <w:r w:rsidR="00274B84">
        <w:rPr>
          <w:i/>
          <w:iCs/>
        </w:rPr>
        <w:t>, etc.</w:t>
      </w:r>
      <w:r w:rsidRPr="007A6E65">
        <w:rPr>
          <w:i/>
          <w:iCs/>
        </w:rPr>
        <w:t xml:space="preserve"> </w:t>
      </w:r>
      <w:r w:rsidR="00FC25C8">
        <w:rPr>
          <w:i/>
          <w:iCs/>
        </w:rPr>
        <w:t>I</w:t>
      </w:r>
      <w:r w:rsidR="00467625" w:rsidRPr="00467625">
        <w:rPr>
          <w:i/>
          <w:iCs/>
        </w:rPr>
        <w:t xml:space="preserve">f </w:t>
      </w:r>
      <w:r w:rsidR="00FC25C8">
        <w:rPr>
          <w:i/>
          <w:iCs/>
        </w:rPr>
        <w:t xml:space="preserve">Section 4 funds are reallocated or redirected for emergency situations, </w:t>
      </w:r>
      <w:r w:rsidR="00467625" w:rsidRPr="00467625">
        <w:rPr>
          <w:i/>
          <w:iCs/>
        </w:rPr>
        <w:t>appropriate records and cost documentation</w:t>
      </w:r>
      <w:r w:rsidR="00FC25C8">
        <w:rPr>
          <w:i/>
          <w:iCs/>
        </w:rPr>
        <w:t xml:space="preserve"> must be maintained</w:t>
      </w:r>
      <w:r w:rsidR="00467625" w:rsidRPr="00467625">
        <w:rPr>
          <w:i/>
          <w:iCs/>
        </w:rPr>
        <w:t xml:space="preserve"> in case of a review or </w:t>
      </w:r>
      <w:r w:rsidR="00875C3B">
        <w:rPr>
          <w:i/>
          <w:iCs/>
        </w:rPr>
        <w:t xml:space="preserve">an </w:t>
      </w:r>
      <w:r w:rsidR="00467625" w:rsidRPr="00467625">
        <w:rPr>
          <w:i/>
          <w:iCs/>
        </w:rPr>
        <w:t xml:space="preserve">audit.    </w:t>
      </w:r>
    </w:p>
    <w:p w14:paraId="5F456130" w14:textId="77777777" w:rsidR="00410457" w:rsidRDefault="00410457" w:rsidP="00EE6945"/>
    <w:p w14:paraId="18946D96" w14:textId="2BAE782F" w:rsidR="00DE3E47" w:rsidRDefault="002B0DAB" w:rsidP="009C2047">
      <w:pPr>
        <w:pStyle w:val="ListParagraph"/>
        <w:numPr>
          <w:ilvl w:val="0"/>
          <w:numId w:val="1"/>
        </w:numPr>
      </w:pPr>
      <w:r>
        <w:t xml:space="preserve">Can </w:t>
      </w:r>
      <w:r w:rsidR="003E32E4">
        <w:t xml:space="preserve">all Section 4 activities be provided remotely?  </w:t>
      </w:r>
      <w:r>
        <w:t xml:space="preserve"> </w:t>
      </w:r>
    </w:p>
    <w:p w14:paraId="116F6E08" w14:textId="7ADCF0AF" w:rsidR="002B0DAB" w:rsidRDefault="002B0DAB"/>
    <w:p w14:paraId="5B820EFB" w14:textId="7589D6F8" w:rsidR="00286AA6" w:rsidRPr="001505A8" w:rsidRDefault="003E32E4" w:rsidP="003E32E4">
      <w:pPr>
        <w:ind w:left="720"/>
        <w:rPr>
          <w:i/>
          <w:iCs/>
        </w:rPr>
      </w:pPr>
      <w:r w:rsidRPr="001505A8">
        <w:rPr>
          <w:i/>
          <w:iCs/>
        </w:rPr>
        <w:t>Most Section 4 activities</w:t>
      </w:r>
      <w:r w:rsidR="007A6E65" w:rsidRPr="001505A8">
        <w:rPr>
          <w:i/>
          <w:iCs/>
        </w:rPr>
        <w:t xml:space="preserve"> </w:t>
      </w:r>
      <w:r w:rsidRPr="001505A8">
        <w:rPr>
          <w:i/>
          <w:iCs/>
        </w:rPr>
        <w:t>can be provided remotely</w:t>
      </w:r>
      <w:r w:rsidR="00286AA6" w:rsidRPr="001505A8">
        <w:rPr>
          <w:i/>
          <w:iCs/>
        </w:rPr>
        <w:t xml:space="preserve">. </w:t>
      </w:r>
      <w:r w:rsidR="002B0DAB" w:rsidRPr="001505A8">
        <w:rPr>
          <w:i/>
          <w:iCs/>
        </w:rPr>
        <w:t xml:space="preserve">There may be </w:t>
      </w:r>
      <w:r w:rsidR="00286AA6" w:rsidRPr="001505A8">
        <w:rPr>
          <w:i/>
          <w:iCs/>
        </w:rPr>
        <w:t>some services that do require direct recipient</w:t>
      </w:r>
      <w:r w:rsidR="007A6E65">
        <w:rPr>
          <w:i/>
          <w:iCs/>
        </w:rPr>
        <w:t xml:space="preserve"> or </w:t>
      </w:r>
      <w:r w:rsidR="00286AA6" w:rsidRPr="001505A8">
        <w:rPr>
          <w:i/>
          <w:iCs/>
        </w:rPr>
        <w:t xml:space="preserve">participant contact and decisions should be made </w:t>
      </w:r>
      <w:r w:rsidR="002B0DAB" w:rsidRPr="001505A8">
        <w:rPr>
          <w:i/>
          <w:iCs/>
        </w:rPr>
        <w:t>at a local level</w:t>
      </w:r>
      <w:r w:rsidR="00286AA6" w:rsidRPr="001505A8">
        <w:rPr>
          <w:i/>
          <w:iCs/>
        </w:rPr>
        <w:t xml:space="preserve"> about how to handle those </w:t>
      </w:r>
      <w:r w:rsidR="007A6E65">
        <w:rPr>
          <w:i/>
          <w:iCs/>
        </w:rPr>
        <w:t xml:space="preserve">unique </w:t>
      </w:r>
      <w:r w:rsidR="00286AA6" w:rsidRPr="001505A8">
        <w:rPr>
          <w:i/>
          <w:iCs/>
        </w:rPr>
        <w:t>situations</w:t>
      </w:r>
      <w:r w:rsidR="00367E47">
        <w:rPr>
          <w:i/>
          <w:iCs/>
        </w:rPr>
        <w:t xml:space="preserve"> consistent with public health guidance and social distancing initiatives</w:t>
      </w:r>
      <w:r w:rsidR="00286AA6" w:rsidRPr="001505A8">
        <w:rPr>
          <w:i/>
          <w:iCs/>
        </w:rPr>
        <w:t xml:space="preserve">.  </w:t>
      </w:r>
    </w:p>
    <w:p w14:paraId="7FA164A9" w14:textId="77777777" w:rsidR="00286AA6" w:rsidRDefault="00286AA6" w:rsidP="00286AA6"/>
    <w:p w14:paraId="5A910BB2" w14:textId="44B41F04" w:rsidR="00286AA6" w:rsidRDefault="00286AA6" w:rsidP="009C2047">
      <w:pPr>
        <w:pStyle w:val="ListParagraph"/>
        <w:numPr>
          <w:ilvl w:val="0"/>
          <w:numId w:val="1"/>
        </w:numPr>
      </w:pPr>
      <w:r>
        <w:t xml:space="preserve">Can data be reported in the APR when activities are conducted remotely? </w:t>
      </w:r>
    </w:p>
    <w:p w14:paraId="3E2F42B7" w14:textId="77777777" w:rsidR="00286AA6" w:rsidRDefault="00286AA6" w:rsidP="00286AA6"/>
    <w:p w14:paraId="69CEC703" w14:textId="674305AC" w:rsidR="00436AED" w:rsidRPr="001505A8" w:rsidRDefault="00286AA6" w:rsidP="00436AED">
      <w:pPr>
        <w:ind w:left="720"/>
        <w:rPr>
          <w:i/>
          <w:iCs/>
        </w:rPr>
      </w:pPr>
      <w:r w:rsidRPr="001505A8">
        <w:rPr>
          <w:i/>
          <w:iCs/>
        </w:rPr>
        <w:t>Yes</w:t>
      </w:r>
      <w:r w:rsidR="006A3E64" w:rsidRPr="001505A8">
        <w:rPr>
          <w:i/>
          <w:iCs/>
        </w:rPr>
        <w:t>.</w:t>
      </w:r>
      <w:r w:rsidRPr="001505A8">
        <w:rPr>
          <w:i/>
          <w:iCs/>
        </w:rPr>
        <w:t xml:space="preserve"> </w:t>
      </w:r>
      <w:r w:rsidR="002C327C">
        <w:rPr>
          <w:i/>
          <w:iCs/>
        </w:rPr>
        <w:t>M</w:t>
      </w:r>
      <w:r w:rsidR="001505A8">
        <w:rPr>
          <w:i/>
          <w:iCs/>
        </w:rPr>
        <w:t xml:space="preserve">any </w:t>
      </w:r>
      <w:r w:rsidR="00436AED" w:rsidRPr="001505A8">
        <w:rPr>
          <w:i/>
          <w:iCs/>
        </w:rPr>
        <w:t xml:space="preserve">Section 4 activities can be effectively </w:t>
      </w:r>
      <w:r w:rsidR="001505A8">
        <w:rPr>
          <w:i/>
          <w:iCs/>
        </w:rPr>
        <w:t xml:space="preserve">provided </w:t>
      </w:r>
      <w:r w:rsidR="00436AED" w:rsidRPr="001505A8">
        <w:rPr>
          <w:i/>
          <w:iCs/>
        </w:rPr>
        <w:t xml:space="preserve">remotely </w:t>
      </w:r>
      <w:r w:rsidR="001505A8">
        <w:rPr>
          <w:i/>
          <w:iCs/>
        </w:rPr>
        <w:t xml:space="preserve">including </w:t>
      </w:r>
      <w:r w:rsidR="00436AED" w:rsidRPr="001505A8">
        <w:rPr>
          <w:i/>
          <w:iCs/>
        </w:rPr>
        <w:t>training, technical as</w:t>
      </w:r>
      <w:r w:rsidR="00274B84">
        <w:rPr>
          <w:i/>
          <w:iCs/>
        </w:rPr>
        <w:t xml:space="preserve">sistance, awareness, state </w:t>
      </w:r>
      <w:r w:rsidR="00436AED" w:rsidRPr="001505A8">
        <w:rPr>
          <w:i/>
          <w:iCs/>
        </w:rPr>
        <w:t xml:space="preserve">financing activities, drop-ship </w:t>
      </w:r>
      <w:r w:rsidR="001505A8">
        <w:rPr>
          <w:i/>
          <w:iCs/>
        </w:rPr>
        <w:t xml:space="preserve">of </w:t>
      </w:r>
      <w:r w:rsidR="00436AED" w:rsidRPr="001505A8">
        <w:rPr>
          <w:i/>
          <w:iCs/>
        </w:rPr>
        <w:t>short-term device loans</w:t>
      </w:r>
      <w:r w:rsidR="00CD055B">
        <w:rPr>
          <w:i/>
          <w:iCs/>
        </w:rPr>
        <w:t xml:space="preserve"> or refurbished devices and even device demonstrations</w:t>
      </w:r>
      <w:r w:rsidR="00436AED" w:rsidRPr="001505A8">
        <w:rPr>
          <w:i/>
          <w:iCs/>
        </w:rPr>
        <w:t xml:space="preserve">. </w:t>
      </w:r>
      <w:r w:rsidR="00CD055B">
        <w:rPr>
          <w:i/>
          <w:iCs/>
        </w:rPr>
        <w:t xml:space="preserve">Creativity is encouraged to adapt activities to </w:t>
      </w:r>
      <w:r w:rsidR="00436AED" w:rsidRPr="001505A8">
        <w:rPr>
          <w:i/>
          <w:iCs/>
        </w:rPr>
        <w:t>remote delivery mechanism</w:t>
      </w:r>
      <w:r w:rsidR="00CD055B">
        <w:rPr>
          <w:i/>
          <w:iCs/>
        </w:rPr>
        <w:t>s during this emergency</w:t>
      </w:r>
      <w:r w:rsidR="002C327C">
        <w:rPr>
          <w:i/>
          <w:iCs/>
        </w:rPr>
        <w:t xml:space="preserve"> to continue service provision and report activities in the </w:t>
      </w:r>
      <w:r w:rsidR="00875C3B">
        <w:rPr>
          <w:i/>
          <w:iCs/>
        </w:rPr>
        <w:t>Annual Performance Report (</w:t>
      </w:r>
      <w:r w:rsidR="002C327C">
        <w:rPr>
          <w:i/>
          <w:iCs/>
        </w:rPr>
        <w:t>APR</w:t>
      </w:r>
      <w:r w:rsidR="00875C3B">
        <w:rPr>
          <w:i/>
          <w:iCs/>
        </w:rPr>
        <w:t>)</w:t>
      </w:r>
      <w:r w:rsidR="002C327C">
        <w:rPr>
          <w:i/>
          <w:iCs/>
        </w:rPr>
        <w:t>.</w:t>
      </w:r>
      <w:r w:rsidR="00436AED" w:rsidRPr="001505A8">
        <w:rPr>
          <w:i/>
          <w:iCs/>
        </w:rPr>
        <w:t xml:space="preserve"> </w:t>
      </w:r>
    </w:p>
    <w:p w14:paraId="72992366" w14:textId="1D458A06" w:rsidR="00410457" w:rsidRDefault="00410457" w:rsidP="00BC56D8"/>
    <w:p w14:paraId="45FC2C23" w14:textId="6B31634A" w:rsidR="00436AED" w:rsidRDefault="008C009D" w:rsidP="009C2047">
      <w:pPr>
        <w:pStyle w:val="ListParagraph"/>
        <w:numPr>
          <w:ilvl w:val="0"/>
          <w:numId w:val="1"/>
        </w:numPr>
      </w:pPr>
      <w:r>
        <w:t xml:space="preserve">Can </w:t>
      </w:r>
      <w:r w:rsidR="008F69C9">
        <w:t>State/</w:t>
      </w:r>
      <w:r w:rsidR="00875C3B">
        <w:t xml:space="preserve">Territory </w:t>
      </w:r>
      <w:r w:rsidR="007A6E65">
        <w:t>AT Program</w:t>
      </w:r>
      <w:r>
        <w:t>s</w:t>
      </w:r>
      <w:r w:rsidR="00436AED">
        <w:t xml:space="preserve"> revise contracts/agreements with partners to </w:t>
      </w:r>
      <w:r w:rsidR="00410457">
        <w:t xml:space="preserve">reconfigure or </w:t>
      </w:r>
      <w:r w:rsidR="00436AED">
        <w:t>suspend their activities and continue pa</w:t>
      </w:r>
      <w:r w:rsidR="00875C3B">
        <w:t>ying them with Section 4 dollars</w:t>
      </w:r>
      <w:r w:rsidR="00436AED">
        <w:t xml:space="preserve">? </w:t>
      </w:r>
    </w:p>
    <w:p w14:paraId="15014EC7" w14:textId="77777777" w:rsidR="00436AED" w:rsidRDefault="00436AED" w:rsidP="00436AED"/>
    <w:p w14:paraId="56C12CBC" w14:textId="09795BAE" w:rsidR="00436AED" w:rsidRDefault="008C009D" w:rsidP="00436AED">
      <w:pPr>
        <w:ind w:left="720"/>
        <w:rPr>
          <w:i/>
          <w:iCs/>
        </w:rPr>
      </w:pPr>
      <w:r>
        <w:rPr>
          <w:i/>
          <w:iCs/>
        </w:rPr>
        <w:t>Yes</w:t>
      </w:r>
      <w:r w:rsidR="006A3E64" w:rsidRPr="00FD2E42">
        <w:rPr>
          <w:i/>
          <w:iCs/>
        </w:rPr>
        <w:t xml:space="preserve">. </w:t>
      </w:r>
      <w:r>
        <w:rPr>
          <w:i/>
          <w:iCs/>
        </w:rPr>
        <w:t>Grantees</w:t>
      </w:r>
      <w:r w:rsidR="00274B84">
        <w:rPr>
          <w:i/>
          <w:iCs/>
        </w:rPr>
        <w:t xml:space="preserve"> are encouraged to adapt their S</w:t>
      </w:r>
      <w:r>
        <w:rPr>
          <w:i/>
          <w:iCs/>
        </w:rPr>
        <w:t>tate</w:t>
      </w:r>
      <w:r w:rsidR="00875C3B">
        <w:rPr>
          <w:i/>
          <w:iCs/>
        </w:rPr>
        <w:t>/Territory</w:t>
      </w:r>
      <w:r>
        <w:rPr>
          <w:i/>
          <w:iCs/>
        </w:rPr>
        <w:t xml:space="preserve"> AT program to continue the provisio</w:t>
      </w:r>
      <w:r w:rsidR="00274B84">
        <w:rPr>
          <w:i/>
          <w:iCs/>
        </w:rPr>
        <w:t>n of services through the COVID-</w:t>
      </w:r>
      <w:r>
        <w:rPr>
          <w:i/>
          <w:iCs/>
        </w:rPr>
        <w:t xml:space="preserve">19 response. </w:t>
      </w:r>
      <w:r w:rsidR="000E478D">
        <w:rPr>
          <w:i/>
          <w:iCs/>
        </w:rPr>
        <w:t xml:space="preserve">Grantees </w:t>
      </w:r>
      <w:r w:rsidR="006A3E64" w:rsidRPr="00FD2E42">
        <w:rPr>
          <w:i/>
          <w:iCs/>
        </w:rPr>
        <w:lastRenderedPageBreak/>
        <w:t xml:space="preserve">are encouraged to revise agreements with partners to continue to provide reconfigured services to the maximum extent possible and to continue to flow Section 4 dollars to partners to mitigate the negative economic impact of the current emergency situation. </w:t>
      </w:r>
      <w:r w:rsidR="000E478D">
        <w:rPr>
          <w:i/>
          <w:iCs/>
        </w:rPr>
        <w:t xml:space="preserve">Grantees </w:t>
      </w:r>
      <w:r w:rsidR="00A8570E" w:rsidRPr="00FD2E42">
        <w:rPr>
          <w:i/>
          <w:iCs/>
        </w:rPr>
        <w:t xml:space="preserve">will need to work with internal fiscal, contracting, </w:t>
      </w:r>
      <w:r w:rsidR="00367E47">
        <w:rPr>
          <w:i/>
          <w:iCs/>
        </w:rPr>
        <w:t xml:space="preserve">and </w:t>
      </w:r>
      <w:r w:rsidR="00A8570E" w:rsidRPr="00FD2E42">
        <w:rPr>
          <w:i/>
          <w:iCs/>
        </w:rPr>
        <w:t xml:space="preserve">accounting </w:t>
      </w:r>
      <w:r w:rsidR="002F40BC" w:rsidRPr="00FD2E42">
        <w:rPr>
          <w:i/>
          <w:iCs/>
        </w:rPr>
        <w:t>offices</w:t>
      </w:r>
      <w:r w:rsidR="00367E47">
        <w:rPr>
          <w:i/>
          <w:iCs/>
        </w:rPr>
        <w:t xml:space="preserve"> of their</w:t>
      </w:r>
      <w:r w:rsidR="000E478D">
        <w:rPr>
          <w:i/>
          <w:iCs/>
        </w:rPr>
        <w:t xml:space="preserve"> administrative home </w:t>
      </w:r>
      <w:r w:rsidR="000E478D" w:rsidRPr="00FD2E42">
        <w:rPr>
          <w:i/>
          <w:iCs/>
        </w:rPr>
        <w:t>(state agency, university, etc.)</w:t>
      </w:r>
      <w:r w:rsidR="002F40BC" w:rsidRPr="00FD2E42">
        <w:rPr>
          <w:i/>
          <w:iCs/>
        </w:rPr>
        <w:t xml:space="preserve"> t</w:t>
      </w:r>
      <w:r w:rsidR="00A8570E" w:rsidRPr="00FD2E42">
        <w:rPr>
          <w:i/>
          <w:iCs/>
        </w:rPr>
        <w:t xml:space="preserve">o revise agreements </w:t>
      </w:r>
      <w:r w:rsidR="00644BDA">
        <w:rPr>
          <w:i/>
          <w:iCs/>
        </w:rPr>
        <w:t xml:space="preserve">and </w:t>
      </w:r>
      <w:r w:rsidR="00A8570E" w:rsidRPr="00FD2E42">
        <w:rPr>
          <w:i/>
          <w:iCs/>
        </w:rPr>
        <w:t xml:space="preserve">continue payments to partners for reconfigured deliverables. </w:t>
      </w:r>
      <w:r w:rsidR="00F3267E" w:rsidRPr="00FD2E42">
        <w:rPr>
          <w:i/>
          <w:iCs/>
        </w:rPr>
        <w:t>(See CATADA Data Brief #11 Data Considerations in Emergency Situations for more detailed information.)</w:t>
      </w:r>
      <w:r>
        <w:rPr>
          <w:i/>
          <w:iCs/>
        </w:rPr>
        <w:t xml:space="preserve"> </w:t>
      </w:r>
      <w:r w:rsidR="002C327C">
        <w:rPr>
          <w:i/>
          <w:iCs/>
        </w:rPr>
        <w:t>Federal approval of contract revisions is not required.</w:t>
      </w:r>
    </w:p>
    <w:p w14:paraId="0AC17AE8" w14:textId="3B94C569" w:rsidR="000D002F" w:rsidRPr="00192445" w:rsidRDefault="000D002F" w:rsidP="00192445"/>
    <w:p w14:paraId="28AEFC2C" w14:textId="77777777" w:rsidR="00410457" w:rsidRDefault="00410457" w:rsidP="00410457">
      <w:pPr>
        <w:pStyle w:val="ListParagraph"/>
        <w:numPr>
          <w:ilvl w:val="0"/>
          <w:numId w:val="1"/>
        </w:numPr>
      </w:pPr>
      <w:r>
        <w:t xml:space="preserve">What do reconfigured Section 4 activities typically include? </w:t>
      </w:r>
    </w:p>
    <w:p w14:paraId="5C0CEF49" w14:textId="77777777" w:rsidR="00410457" w:rsidRDefault="00410457" w:rsidP="00410457"/>
    <w:p w14:paraId="7744B269" w14:textId="5C313BEF" w:rsidR="00410457" w:rsidRPr="00FD2E42" w:rsidRDefault="00410457" w:rsidP="00410457">
      <w:pPr>
        <w:ind w:left="720"/>
        <w:rPr>
          <w:i/>
          <w:iCs/>
        </w:rPr>
      </w:pPr>
      <w:r w:rsidRPr="00FD2E42">
        <w:rPr>
          <w:i/>
          <w:iCs/>
        </w:rPr>
        <w:t>To some extent this depends on the structure of the</w:t>
      </w:r>
      <w:r w:rsidR="00B52700">
        <w:rPr>
          <w:i/>
          <w:iCs/>
        </w:rPr>
        <w:t xml:space="preserve"> particular</w:t>
      </w:r>
      <w:r w:rsidRPr="00FD2E42">
        <w:rPr>
          <w:i/>
          <w:iCs/>
        </w:rPr>
        <w:t xml:space="preserve"> AT Program as centralized or decentralized. Most all programs </w:t>
      </w:r>
      <w:r>
        <w:rPr>
          <w:i/>
          <w:iCs/>
        </w:rPr>
        <w:t xml:space="preserve">have </w:t>
      </w:r>
      <w:r w:rsidRPr="00FD2E42">
        <w:rPr>
          <w:i/>
          <w:iCs/>
        </w:rPr>
        <w:t>move</w:t>
      </w:r>
      <w:r>
        <w:rPr>
          <w:i/>
          <w:iCs/>
        </w:rPr>
        <w:t>d</w:t>
      </w:r>
      <w:r w:rsidRPr="00FD2E42">
        <w:rPr>
          <w:i/>
          <w:iCs/>
        </w:rPr>
        <w:t xml:space="preserve"> staff to remote work settings, revis</w:t>
      </w:r>
      <w:r>
        <w:rPr>
          <w:i/>
          <w:iCs/>
        </w:rPr>
        <w:t>ed</w:t>
      </w:r>
      <w:r w:rsidRPr="00FD2E42">
        <w:rPr>
          <w:i/>
          <w:iCs/>
        </w:rPr>
        <w:t xml:space="preserve"> staff responsibilities from direct client contact to remote client service and/or other supportive activities like doing remote follow-up with consumers, remote tracking </w:t>
      </w:r>
      <w:r>
        <w:rPr>
          <w:i/>
          <w:iCs/>
        </w:rPr>
        <w:t xml:space="preserve">of </w:t>
      </w:r>
      <w:r w:rsidRPr="00FD2E42">
        <w:rPr>
          <w:i/>
          <w:iCs/>
        </w:rPr>
        <w:t xml:space="preserve">devices out on loan and extending loan periods or implementing </w:t>
      </w:r>
      <w:r>
        <w:rPr>
          <w:i/>
          <w:iCs/>
        </w:rPr>
        <w:t xml:space="preserve">revised </w:t>
      </w:r>
      <w:r w:rsidRPr="00FD2E42">
        <w:rPr>
          <w:i/>
          <w:iCs/>
        </w:rPr>
        <w:t xml:space="preserve">mechanisms for device return, developing written materials to support program operation, </w:t>
      </w:r>
      <w:r>
        <w:rPr>
          <w:i/>
          <w:iCs/>
        </w:rPr>
        <w:t xml:space="preserve">revising </w:t>
      </w:r>
      <w:r w:rsidRPr="00FD2E42">
        <w:rPr>
          <w:i/>
          <w:iCs/>
        </w:rPr>
        <w:t>sanitization protocols to use when strict isolation is no longer needed, etc. Converting to remote services can be a challenge in a decentralized structure where the State</w:t>
      </w:r>
      <w:r w:rsidR="00875C3B">
        <w:rPr>
          <w:i/>
          <w:iCs/>
        </w:rPr>
        <w:t>/Territory</w:t>
      </w:r>
      <w:r w:rsidRPr="00FD2E42">
        <w:rPr>
          <w:i/>
          <w:iCs/>
        </w:rPr>
        <w:t xml:space="preserve"> AT Program does </w:t>
      </w:r>
      <w:r w:rsidR="00FD4E94">
        <w:rPr>
          <w:i/>
          <w:iCs/>
        </w:rPr>
        <w:t xml:space="preserve">not </w:t>
      </w:r>
      <w:r w:rsidRPr="00FD2E42">
        <w:rPr>
          <w:i/>
          <w:iCs/>
        </w:rPr>
        <w:t xml:space="preserve">have direct control over the </w:t>
      </w:r>
      <w:r>
        <w:rPr>
          <w:i/>
          <w:iCs/>
        </w:rPr>
        <w:t xml:space="preserve">staff and </w:t>
      </w:r>
      <w:r w:rsidRPr="00FD2E42">
        <w:rPr>
          <w:i/>
          <w:iCs/>
        </w:rPr>
        <w:t>wo</w:t>
      </w:r>
      <w:r w:rsidR="00274B84">
        <w:rPr>
          <w:i/>
          <w:iCs/>
        </w:rPr>
        <w:t xml:space="preserve">rking environment of partners. </w:t>
      </w:r>
      <w:r w:rsidRPr="00FD2E42">
        <w:rPr>
          <w:i/>
          <w:iCs/>
        </w:rPr>
        <w:t>In some cases, specific equipment will need to be purchased to enable remote work/service, e.g. computers, expanded internet a</w:t>
      </w:r>
      <w:r w:rsidR="00274B84">
        <w:rPr>
          <w:i/>
          <w:iCs/>
        </w:rPr>
        <w:t xml:space="preserve">ccess, internet boosters, etc. </w:t>
      </w:r>
      <w:r w:rsidRPr="00FD2E42">
        <w:rPr>
          <w:i/>
          <w:iCs/>
        </w:rPr>
        <w:t xml:space="preserve">Grantees are encouraged to be flexible in using Section 4 dollars to support reconfigured services and these unique expenditure needs. </w:t>
      </w:r>
    </w:p>
    <w:p w14:paraId="365F9200" w14:textId="77777777" w:rsidR="00410457" w:rsidRDefault="00410457" w:rsidP="002B299D">
      <w:pPr>
        <w:pStyle w:val="ListParagraph"/>
        <w:ind w:left="360"/>
      </w:pPr>
    </w:p>
    <w:p w14:paraId="615090A1" w14:textId="40090DB4" w:rsidR="000D002F" w:rsidRDefault="000D002F" w:rsidP="009C2047">
      <w:pPr>
        <w:pStyle w:val="ListParagraph"/>
        <w:numPr>
          <w:ilvl w:val="0"/>
          <w:numId w:val="1"/>
        </w:numPr>
      </w:pPr>
      <w:r>
        <w:t>Can the liquidation period for Section 4 grants be extended if necessary due to an emergency situation?</w:t>
      </w:r>
    </w:p>
    <w:p w14:paraId="6E5DDF53" w14:textId="21230025" w:rsidR="000D002F" w:rsidRDefault="000D002F" w:rsidP="000D002F"/>
    <w:p w14:paraId="56C94B34" w14:textId="4EB567C4" w:rsidR="000D002F" w:rsidRPr="000D002F" w:rsidRDefault="000D002F" w:rsidP="000D002F">
      <w:pPr>
        <w:ind w:left="720"/>
        <w:rPr>
          <w:i/>
          <w:iCs/>
        </w:rPr>
      </w:pPr>
      <w:r w:rsidRPr="000D002F">
        <w:rPr>
          <w:i/>
          <w:iCs/>
        </w:rPr>
        <w:t>Yes. On a case-by-case basis, liquidation extensions can be granted to help a grantee fully liquidate funds that were obligated by the end date but could not be liquidated (e.g. dollars were obligated for a device purchased but could not be liquidated due to supply chain disruption or similar). Hopefully the timing of the current COVID-19 emergency is far enough away from the end of the federal fiscal year to provide grantees with an opportunity to reallocate dollars in an attempt to fully obligate FY</w:t>
      </w:r>
      <w:r w:rsidR="00274B84">
        <w:rPr>
          <w:i/>
          <w:iCs/>
        </w:rPr>
        <w:t xml:space="preserve"> 20</w:t>
      </w:r>
      <w:r w:rsidRPr="000D002F">
        <w:rPr>
          <w:i/>
          <w:iCs/>
        </w:rPr>
        <w:t xml:space="preserve">19 award funding by September 30, 2020 and fully liquidate by December 31, 2020. </w:t>
      </w:r>
    </w:p>
    <w:p w14:paraId="68CD3FB2" w14:textId="77777777" w:rsidR="000025E3" w:rsidRDefault="000025E3" w:rsidP="00662296"/>
    <w:p w14:paraId="7A04EE62" w14:textId="7D95B868" w:rsidR="00286AA6" w:rsidRDefault="00286AA6" w:rsidP="009C2047">
      <w:pPr>
        <w:pStyle w:val="ListParagraph"/>
        <w:numPr>
          <w:ilvl w:val="0"/>
          <w:numId w:val="1"/>
        </w:numPr>
      </w:pPr>
      <w:r>
        <w:t xml:space="preserve">Can demonstrations be conducted without the participant having hands-on access to the device to be explored? </w:t>
      </w:r>
    </w:p>
    <w:p w14:paraId="137B8501" w14:textId="77777777" w:rsidR="00286AA6" w:rsidRDefault="00286AA6" w:rsidP="002B0DAB"/>
    <w:p w14:paraId="35438A8D" w14:textId="45932CD2" w:rsidR="002B0DAB" w:rsidRPr="00FD2E42" w:rsidRDefault="00286AA6" w:rsidP="00286AA6">
      <w:pPr>
        <w:ind w:left="720"/>
        <w:rPr>
          <w:i/>
          <w:iCs/>
        </w:rPr>
      </w:pPr>
      <w:r w:rsidRPr="00FD2E42">
        <w:rPr>
          <w:i/>
          <w:iCs/>
        </w:rPr>
        <w:t>Yes, so long as the device can actually be explored to enable decision-making without hands-on access</w:t>
      </w:r>
      <w:r w:rsidR="00B52700">
        <w:rPr>
          <w:i/>
          <w:iCs/>
        </w:rPr>
        <w:t>. O</w:t>
      </w:r>
      <w:r w:rsidR="00FC05E1" w:rsidRPr="00FD2E42">
        <w:rPr>
          <w:i/>
          <w:iCs/>
        </w:rPr>
        <w:t>therwise the event would likely be a training or awareness event instead</w:t>
      </w:r>
      <w:r w:rsidRPr="00FD2E42">
        <w:rPr>
          <w:i/>
          <w:iCs/>
        </w:rPr>
        <w:t xml:space="preserve">. The </w:t>
      </w:r>
      <w:r w:rsidR="00875C3B">
        <w:rPr>
          <w:i/>
          <w:iCs/>
        </w:rPr>
        <w:t>Annual Performance Report (</w:t>
      </w:r>
      <w:r w:rsidRPr="00FD2E42">
        <w:rPr>
          <w:i/>
          <w:iCs/>
        </w:rPr>
        <w:t>APR</w:t>
      </w:r>
      <w:r w:rsidR="00875C3B">
        <w:rPr>
          <w:i/>
          <w:iCs/>
        </w:rPr>
        <w:t>)</w:t>
      </w:r>
      <w:r w:rsidRPr="00FD2E42">
        <w:rPr>
          <w:i/>
          <w:iCs/>
        </w:rPr>
        <w:t xml:space="preserve"> instructions indicate that “</w:t>
      </w:r>
      <w:r w:rsidR="002B0DAB" w:rsidRPr="00FD2E42">
        <w:rPr>
          <w:i/>
          <w:iCs/>
        </w:rPr>
        <w:t xml:space="preserve">If a demonstration is to be conducted without the participant having direct (hands-on) access to the devices to be demonstrated, the </w:t>
      </w:r>
      <w:r w:rsidR="002B0DAB" w:rsidRPr="00FD2E42">
        <w:rPr>
          <w:i/>
          <w:iCs/>
        </w:rPr>
        <w:lastRenderedPageBreak/>
        <w:t>interaction must be structured to ensure the device can be adequately explored to enable decision-making.</w:t>
      </w:r>
      <w:r w:rsidRPr="00FD2E42">
        <w:rPr>
          <w:i/>
          <w:iCs/>
        </w:rPr>
        <w:t xml:space="preserve">” </w:t>
      </w:r>
    </w:p>
    <w:p w14:paraId="6321B8A3" w14:textId="1FB51F0E" w:rsidR="00286AA6" w:rsidRDefault="00286AA6" w:rsidP="00286AA6"/>
    <w:p w14:paraId="02752DC3" w14:textId="19481747" w:rsidR="00286AA6" w:rsidRDefault="003645FE" w:rsidP="009C2047">
      <w:pPr>
        <w:pStyle w:val="ListParagraph"/>
        <w:numPr>
          <w:ilvl w:val="0"/>
          <w:numId w:val="1"/>
        </w:numPr>
      </w:pPr>
      <w:r>
        <w:t xml:space="preserve">How </w:t>
      </w:r>
      <w:r w:rsidR="00FC05E1">
        <w:t xml:space="preserve">can </w:t>
      </w:r>
      <w:r w:rsidR="00601778">
        <w:t>State</w:t>
      </w:r>
      <w:r w:rsidR="00875C3B">
        <w:t>/Territory</w:t>
      </w:r>
      <w:r w:rsidR="00601778">
        <w:t xml:space="preserve"> AT Programs </w:t>
      </w:r>
      <w:r>
        <w:t>report short-term device loans</w:t>
      </w:r>
      <w:r w:rsidR="00601778">
        <w:t xml:space="preserve"> where devices are </w:t>
      </w:r>
      <w:r w:rsidR="00C90A24">
        <w:t xml:space="preserve">never </w:t>
      </w:r>
      <w:r w:rsidR="00601778">
        <w:t>returned</w:t>
      </w:r>
      <w:r w:rsidR="00B52700">
        <w:t>,</w:t>
      </w:r>
      <w:r w:rsidR="00601778">
        <w:t xml:space="preserve"> due to </w:t>
      </w:r>
      <w:r>
        <w:t xml:space="preserve">widespread closures of schools and other borrower agencies? </w:t>
      </w:r>
    </w:p>
    <w:p w14:paraId="5E8451A6" w14:textId="0D859884" w:rsidR="003645FE" w:rsidRDefault="003645FE" w:rsidP="00286AA6"/>
    <w:p w14:paraId="1E47A0C0" w14:textId="6943D5F7" w:rsidR="008C009D" w:rsidRDefault="00601778" w:rsidP="004D46CF">
      <w:pPr>
        <w:ind w:left="720"/>
        <w:rPr>
          <w:i/>
          <w:iCs/>
        </w:rPr>
      </w:pPr>
      <w:r>
        <w:rPr>
          <w:i/>
          <w:iCs/>
        </w:rPr>
        <w:t xml:space="preserve">When a decision is made that </w:t>
      </w:r>
      <w:r w:rsidR="00FC05E1" w:rsidRPr="00FD2E42">
        <w:rPr>
          <w:i/>
          <w:iCs/>
        </w:rPr>
        <w:t xml:space="preserve">a device </w:t>
      </w:r>
      <w:r w:rsidR="008E145B">
        <w:rPr>
          <w:i/>
          <w:iCs/>
        </w:rPr>
        <w:t>will never be retrieved from a borrower</w:t>
      </w:r>
      <w:r w:rsidR="00FC05E1" w:rsidRPr="00FD2E42">
        <w:rPr>
          <w:i/>
          <w:iCs/>
        </w:rPr>
        <w:t xml:space="preserve">, </w:t>
      </w:r>
      <w:r>
        <w:rPr>
          <w:i/>
          <w:iCs/>
        </w:rPr>
        <w:t xml:space="preserve">the grantee should </w:t>
      </w:r>
      <w:r w:rsidR="00FC05E1" w:rsidRPr="00FD2E42">
        <w:rPr>
          <w:i/>
          <w:iCs/>
        </w:rPr>
        <w:t xml:space="preserve">close that loan and report it in the APR with </w:t>
      </w:r>
      <w:r w:rsidR="000C163C" w:rsidRPr="00FD2E42">
        <w:rPr>
          <w:i/>
          <w:iCs/>
        </w:rPr>
        <w:t xml:space="preserve">the data </w:t>
      </w:r>
      <w:r>
        <w:rPr>
          <w:i/>
          <w:iCs/>
        </w:rPr>
        <w:t xml:space="preserve">that is available </w:t>
      </w:r>
      <w:r w:rsidR="000C163C" w:rsidRPr="00FD2E42">
        <w:rPr>
          <w:i/>
          <w:iCs/>
        </w:rPr>
        <w:t>which should be everything but performance measure and satisfaction rating which will be reported as non-respondent. All the other data will be available on the front-end of making the loan and is not conditioned on the device being returned or gathering additional information from the borrower.</w:t>
      </w:r>
      <w:r w:rsidR="002F40BC" w:rsidRPr="00FD2E42">
        <w:rPr>
          <w:i/>
          <w:iCs/>
        </w:rPr>
        <w:t xml:space="preserve"> </w:t>
      </w:r>
    </w:p>
    <w:p w14:paraId="34BA9874" w14:textId="77777777" w:rsidR="008C009D" w:rsidRDefault="008C009D" w:rsidP="004D46CF">
      <w:pPr>
        <w:ind w:left="720"/>
        <w:rPr>
          <w:i/>
          <w:iCs/>
        </w:rPr>
      </w:pPr>
    </w:p>
    <w:p w14:paraId="3991D5B6" w14:textId="2266482E" w:rsidR="000C163C" w:rsidRDefault="002F40BC" w:rsidP="004D46CF">
      <w:pPr>
        <w:ind w:left="720"/>
        <w:rPr>
          <w:i/>
          <w:iCs/>
        </w:rPr>
      </w:pPr>
      <w:r w:rsidRPr="00FD2E42">
        <w:rPr>
          <w:i/>
          <w:iCs/>
        </w:rPr>
        <w:t xml:space="preserve">Please remember that all decisions about the length of </w:t>
      </w:r>
      <w:r w:rsidR="00601778">
        <w:rPr>
          <w:i/>
          <w:iCs/>
        </w:rPr>
        <w:t xml:space="preserve">time a device is out for </w:t>
      </w:r>
      <w:r w:rsidRPr="00FD2E42">
        <w:rPr>
          <w:i/>
          <w:iCs/>
        </w:rPr>
        <w:t xml:space="preserve">short-term loan are made by </w:t>
      </w:r>
      <w:r w:rsidR="00601778">
        <w:rPr>
          <w:i/>
          <w:iCs/>
        </w:rPr>
        <w:t xml:space="preserve">grantee </w:t>
      </w:r>
      <w:r w:rsidRPr="00FD2E42">
        <w:rPr>
          <w:i/>
          <w:iCs/>
        </w:rPr>
        <w:t xml:space="preserve">internal policies and not dictated by the </w:t>
      </w:r>
      <w:r w:rsidR="00875C3B">
        <w:rPr>
          <w:i/>
          <w:iCs/>
        </w:rPr>
        <w:t>Annual Performance Report (</w:t>
      </w:r>
      <w:r w:rsidRPr="00FD2E42">
        <w:rPr>
          <w:i/>
          <w:iCs/>
        </w:rPr>
        <w:t>APR</w:t>
      </w:r>
      <w:r w:rsidR="00875C3B">
        <w:rPr>
          <w:i/>
          <w:iCs/>
        </w:rPr>
        <w:t>)</w:t>
      </w:r>
      <w:r w:rsidR="008F69C9">
        <w:rPr>
          <w:i/>
          <w:iCs/>
        </w:rPr>
        <w:t xml:space="preserve">. </w:t>
      </w:r>
      <w:r w:rsidRPr="00FD2E42">
        <w:rPr>
          <w:i/>
          <w:iCs/>
        </w:rPr>
        <w:t>(</w:t>
      </w:r>
      <w:r w:rsidR="00274B84">
        <w:rPr>
          <w:i/>
          <w:iCs/>
        </w:rPr>
        <w:t>See CATADA Data Brief #2 Short-T</w:t>
      </w:r>
      <w:r w:rsidRPr="00FD2E42">
        <w:rPr>
          <w:i/>
          <w:iCs/>
        </w:rPr>
        <w:t>erm vs. Open-Ended Loans for more detailed information.)</w:t>
      </w:r>
    </w:p>
    <w:p w14:paraId="365F84C2" w14:textId="34C7F0B4" w:rsidR="002C327C" w:rsidRDefault="002C327C" w:rsidP="004D46CF">
      <w:pPr>
        <w:ind w:left="720"/>
        <w:rPr>
          <w:i/>
          <w:iCs/>
        </w:rPr>
      </w:pPr>
    </w:p>
    <w:p w14:paraId="1799178D" w14:textId="187F22A2" w:rsidR="002C327C" w:rsidRDefault="002C327C" w:rsidP="002C327C">
      <w:pPr>
        <w:pStyle w:val="ListParagraph"/>
        <w:numPr>
          <w:ilvl w:val="0"/>
          <w:numId w:val="1"/>
        </w:numPr>
      </w:pPr>
      <w:r>
        <w:t>Should State</w:t>
      </w:r>
      <w:r w:rsidR="00875C3B">
        <w:t>/Territory</w:t>
      </w:r>
      <w:r>
        <w:t xml:space="preserve"> AT Programs be concerned that numbers decrease in the FY</w:t>
      </w:r>
      <w:r w:rsidR="00274B84">
        <w:t xml:space="preserve"> </w:t>
      </w:r>
      <w:r>
        <w:t xml:space="preserve">2020 Annual Progress Report (APR) because of service suspension or reconfiguration during the COVID-19 emergency? </w:t>
      </w:r>
    </w:p>
    <w:p w14:paraId="67293F48" w14:textId="77777777" w:rsidR="002C327C" w:rsidRDefault="002C327C" w:rsidP="002C327C"/>
    <w:p w14:paraId="346D9CCD" w14:textId="79933E5B" w:rsidR="002C327C" w:rsidRDefault="002C327C" w:rsidP="002C327C">
      <w:pPr>
        <w:ind w:left="720"/>
        <w:rPr>
          <w:i/>
          <w:iCs/>
        </w:rPr>
      </w:pPr>
      <w:r w:rsidRPr="001505A8">
        <w:rPr>
          <w:i/>
          <w:iCs/>
        </w:rPr>
        <w:t xml:space="preserve">No. </w:t>
      </w:r>
      <w:r w:rsidR="009C039B">
        <w:rPr>
          <w:i/>
          <w:iCs/>
        </w:rPr>
        <w:t>State</w:t>
      </w:r>
      <w:r w:rsidR="00875C3B">
        <w:rPr>
          <w:i/>
          <w:iCs/>
        </w:rPr>
        <w:t>/Territory</w:t>
      </w:r>
      <w:r w:rsidR="009C039B">
        <w:rPr>
          <w:i/>
          <w:iCs/>
        </w:rPr>
        <w:t xml:space="preserve"> AT </w:t>
      </w:r>
      <w:r w:rsidR="00D40111">
        <w:rPr>
          <w:i/>
          <w:iCs/>
        </w:rPr>
        <w:t>P</w:t>
      </w:r>
      <w:r w:rsidR="009C039B">
        <w:rPr>
          <w:i/>
          <w:iCs/>
        </w:rPr>
        <w:t>rograms are encouraged to adapt their programs to be responsive to the AT ne</w:t>
      </w:r>
      <w:r w:rsidR="00274B84">
        <w:rPr>
          <w:i/>
          <w:iCs/>
        </w:rPr>
        <w:t xml:space="preserve">eds of those in the community. </w:t>
      </w:r>
      <w:r w:rsidRPr="001505A8">
        <w:rPr>
          <w:i/>
          <w:iCs/>
        </w:rPr>
        <w:t xml:space="preserve">There are no targets that must be met by an individual grantee in their APR either in volume of numbers reported by activity nor in percentages computed for performance measures and satisfaction. Data decreases are routinely seen in emergency situations (e.g. prior hurricane, flood and similar natural disaster events). Grantees who do have significant decreases usually provide a short, succinct description of the reason for the decrease in the notes section for that activity. </w:t>
      </w:r>
      <w:r>
        <w:rPr>
          <w:i/>
          <w:iCs/>
        </w:rPr>
        <w:t>An emergency situation is not the time to be concerned about “outpu</w:t>
      </w:r>
      <w:r w:rsidR="00274B84">
        <w:rPr>
          <w:i/>
          <w:iCs/>
        </w:rPr>
        <w:t xml:space="preserve">t numbers” or “bean-counting”. </w:t>
      </w:r>
      <w:r>
        <w:rPr>
          <w:i/>
          <w:iCs/>
        </w:rPr>
        <w:t xml:space="preserve">The focus should be on mitigating the negative impact of the emergency to the maximum extent possible. Grantees who have minimum output requirements or other similar metric targets for contractors/partners will need to consider revision of those due to the current emergency (see Questions </w:t>
      </w:r>
      <w:r w:rsidR="00D40111">
        <w:rPr>
          <w:i/>
          <w:iCs/>
        </w:rPr>
        <w:t>4</w:t>
      </w:r>
      <w:r>
        <w:rPr>
          <w:i/>
          <w:iCs/>
        </w:rPr>
        <w:t xml:space="preserve"> and </w:t>
      </w:r>
      <w:r w:rsidR="00D40111">
        <w:rPr>
          <w:i/>
          <w:iCs/>
        </w:rPr>
        <w:t>5</w:t>
      </w:r>
      <w:r>
        <w:rPr>
          <w:i/>
          <w:iCs/>
        </w:rPr>
        <w:t xml:space="preserve"> for more discussion of revising agreements with contractors/partners.) </w:t>
      </w:r>
    </w:p>
    <w:p w14:paraId="20CC17E1" w14:textId="65CABFDA" w:rsidR="00734F27" w:rsidRDefault="00734F27" w:rsidP="002C327C">
      <w:pPr>
        <w:ind w:left="720"/>
        <w:rPr>
          <w:i/>
          <w:iCs/>
        </w:rPr>
      </w:pPr>
    </w:p>
    <w:p w14:paraId="2E2F0914" w14:textId="77777777" w:rsidR="00734F27" w:rsidRPr="001505A8" w:rsidRDefault="00734F27" w:rsidP="002C327C">
      <w:pPr>
        <w:ind w:left="720"/>
        <w:rPr>
          <w:i/>
          <w:iCs/>
        </w:rPr>
      </w:pPr>
    </w:p>
    <w:p w14:paraId="6C2530AC" w14:textId="77777777" w:rsidR="002C327C" w:rsidRDefault="002C327C" w:rsidP="002C327C"/>
    <w:p w14:paraId="69C92C45" w14:textId="2D0348BB" w:rsidR="002C327C" w:rsidRDefault="00A4698D" w:rsidP="002C327C">
      <w:pPr>
        <w:pStyle w:val="ListParagraph"/>
        <w:numPr>
          <w:ilvl w:val="0"/>
          <w:numId w:val="1"/>
        </w:numPr>
      </w:pPr>
      <w:r>
        <w:t xml:space="preserve"> </w:t>
      </w:r>
      <w:r w:rsidR="002C327C">
        <w:t>Do State</w:t>
      </w:r>
      <w:r w:rsidR="00875C3B">
        <w:t>/Territory</w:t>
      </w:r>
      <w:r w:rsidR="002C327C">
        <w:t xml:space="preserve"> AT Programs need to up</w:t>
      </w:r>
      <w:r w:rsidR="00734F27">
        <w:t xml:space="preserve">date their State Plan for AT if </w:t>
      </w:r>
      <w:r w:rsidR="002C327C">
        <w:t xml:space="preserve">services are suspended or reconfigured in the COVID-19 emergency? </w:t>
      </w:r>
    </w:p>
    <w:p w14:paraId="65B44195" w14:textId="77777777" w:rsidR="002C327C" w:rsidRDefault="002C327C" w:rsidP="002C327C"/>
    <w:p w14:paraId="0C202A88" w14:textId="77777777" w:rsidR="00734F27" w:rsidRDefault="002C327C" w:rsidP="00734F27">
      <w:pPr>
        <w:ind w:left="720"/>
        <w:rPr>
          <w:i/>
          <w:iCs/>
        </w:rPr>
      </w:pPr>
      <w:r w:rsidRPr="009D578D">
        <w:rPr>
          <w:i/>
          <w:iCs/>
        </w:rPr>
        <w:t xml:space="preserve">No. The State Plan for AT is a high-level, three-year plan that describes the typical structure used to conduct Section 4 activities. It does not need to include or be updated to describe operational changes in an emergency </w:t>
      </w:r>
      <w:r w:rsidRPr="009D578D">
        <w:rPr>
          <w:i/>
          <w:iCs/>
        </w:rPr>
        <w:lastRenderedPageBreak/>
        <w:t xml:space="preserve">situation. Since the State Plan for AT for 2018-2020 is currently being submitted if a grantee chooses to include some description of reconfigured services that is acceptable, but </w:t>
      </w:r>
      <w:r w:rsidR="00274B84">
        <w:rPr>
          <w:i/>
          <w:iCs/>
        </w:rPr>
        <w:t xml:space="preserve">it </w:t>
      </w:r>
      <w:r w:rsidRPr="009D578D">
        <w:rPr>
          <w:i/>
          <w:iCs/>
        </w:rPr>
        <w:t xml:space="preserve">is not required. </w:t>
      </w:r>
    </w:p>
    <w:p w14:paraId="21E0AF87" w14:textId="77777777" w:rsidR="00734F27" w:rsidRDefault="00734F27" w:rsidP="00734F27">
      <w:pPr>
        <w:ind w:left="720"/>
        <w:rPr>
          <w:i/>
          <w:iCs/>
        </w:rPr>
      </w:pPr>
    </w:p>
    <w:p w14:paraId="00AA3F41" w14:textId="0B313376" w:rsidR="00EB5D08" w:rsidRPr="00ED4501" w:rsidRDefault="00EB5D08" w:rsidP="00EB5D08">
      <w:pPr>
        <w:pStyle w:val="ListParagraph"/>
        <w:numPr>
          <w:ilvl w:val="0"/>
          <w:numId w:val="1"/>
        </w:numPr>
        <w:rPr>
          <w:iCs/>
        </w:rPr>
      </w:pPr>
      <w:r>
        <w:rPr>
          <w:iCs/>
        </w:rPr>
        <w:t xml:space="preserve"> </w:t>
      </w:r>
      <w:r w:rsidRPr="00EB5D08">
        <w:rPr>
          <w:iCs/>
        </w:rPr>
        <w:t xml:space="preserve">With the evolving COVID-19 situation, what is the best way </w:t>
      </w:r>
      <w:r w:rsidR="00ED4501">
        <w:rPr>
          <w:iCs/>
        </w:rPr>
        <w:t>to explore effective</w:t>
      </w:r>
      <w:r w:rsidRPr="00EB5D08">
        <w:rPr>
          <w:iCs/>
        </w:rPr>
        <w:t xml:space="preserve"> </w:t>
      </w:r>
      <w:r w:rsidR="00ED4501">
        <w:rPr>
          <w:iCs/>
        </w:rPr>
        <w:t xml:space="preserve">practices </w:t>
      </w:r>
      <w:r w:rsidRPr="00ED4501">
        <w:rPr>
          <w:iCs/>
        </w:rPr>
        <w:t>and procedures of other State and T</w:t>
      </w:r>
      <w:r w:rsidR="00ED4501">
        <w:rPr>
          <w:iCs/>
        </w:rPr>
        <w:t>erritory AT P</w:t>
      </w:r>
      <w:r w:rsidRPr="00ED4501">
        <w:rPr>
          <w:iCs/>
        </w:rPr>
        <w:t>rograms in o</w:t>
      </w:r>
      <w:r w:rsidRPr="00ED4501">
        <w:rPr>
          <w:iCs/>
        </w:rPr>
        <w:t>rder to continue to provide state-l</w:t>
      </w:r>
      <w:r w:rsidRPr="00ED4501">
        <w:rPr>
          <w:iCs/>
        </w:rPr>
        <w:t>evel and state leadership activities?</w:t>
      </w:r>
    </w:p>
    <w:p w14:paraId="46EFA950" w14:textId="6FB07FEC" w:rsidR="00734F27" w:rsidRPr="00734F27" w:rsidRDefault="00734F27" w:rsidP="00734F27">
      <w:pPr>
        <w:ind w:left="720"/>
        <w:rPr>
          <w:i/>
          <w:iCs/>
        </w:rPr>
      </w:pPr>
    </w:p>
    <w:p w14:paraId="435B88A3" w14:textId="4D4FA32F" w:rsidR="00734F27" w:rsidRDefault="00734F27" w:rsidP="009D578D">
      <w:pPr>
        <w:ind w:left="720"/>
        <w:rPr>
          <w:i/>
          <w:iCs/>
        </w:rPr>
      </w:pPr>
      <w:r w:rsidRPr="00734F27">
        <w:rPr>
          <w:i/>
          <w:iCs/>
        </w:rPr>
        <w:t xml:space="preserve">The AT3 Center is continuing to scan challenges posed and solutions implemented by states and territories to meet the needs of individuals with disabilities </w:t>
      </w:r>
      <w:r w:rsidR="00ED4501">
        <w:rPr>
          <w:i/>
          <w:iCs/>
        </w:rPr>
        <w:t xml:space="preserve">and older adults </w:t>
      </w:r>
      <w:r w:rsidRPr="00734F27">
        <w:rPr>
          <w:i/>
          <w:iCs/>
        </w:rPr>
        <w:t>through</w:t>
      </w:r>
      <w:r w:rsidR="00ED4501">
        <w:rPr>
          <w:i/>
          <w:iCs/>
        </w:rPr>
        <w:t xml:space="preserve"> virtual or other measures. AT3 </w:t>
      </w:r>
      <w:r w:rsidRPr="00734F27">
        <w:rPr>
          <w:i/>
          <w:iCs/>
        </w:rPr>
        <w:t>will be updating the AT3 Center website on an ongoing basis with contact in</w:t>
      </w:r>
      <w:r w:rsidR="00ED4501">
        <w:rPr>
          <w:i/>
          <w:iCs/>
        </w:rPr>
        <w:t xml:space="preserve">formation and resources to assist State/Territory AT Programs to continue to conduct activities </w:t>
      </w:r>
      <w:r w:rsidR="00214894">
        <w:rPr>
          <w:i/>
          <w:iCs/>
        </w:rPr>
        <w:t xml:space="preserve">and provide </w:t>
      </w:r>
      <w:bookmarkStart w:id="0" w:name="_GoBack"/>
      <w:bookmarkEnd w:id="0"/>
      <w:r w:rsidR="00214894">
        <w:rPr>
          <w:i/>
          <w:iCs/>
        </w:rPr>
        <w:t>needed AT services</w:t>
      </w:r>
      <w:r w:rsidR="00ED4501">
        <w:rPr>
          <w:i/>
          <w:iCs/>
        </w:rPr>
        <w:t xml:space="preserve"> at:</w:t>
      </w:r>
      <w:r w:rsidRPr="00734F27">
        <w:rPr>
          <w:i/>
          <w:iCs/>
        </w:rPr>
        <w:t xml:space="preserve"> </w:t>
      </w:r>
      <w:hyperlink r:id="rId7" w:history="1">
        <w:r w:rsidRPr="00734F27">
          <w:rPr>
            <w:rStyle w:val="Hyperlink"/>
            <w:i/>
            <w:iCs/>
          </w:rPr>
          <w:t>https://protect2.fireeye.com/url?k=2dc67826-7192615a-2dc64919-0cc47adc5fa2-578c0b28aaa15683&amp;u=https://www.at3center.net/home</w:t>
        </w:r>
      </w:hyperlink>
      <w:r w:rsidRPr="00734F27">
        <w:rPr>
          <w:i/>
          <w:iCs/>
        </w:rPr>
        <w:t>.</w:t>
      </w:r>
    </w:p>
    <w:p w14:paraId="40712A8B" w14:textId="1B767E97" w:rsidR="00734F27" w:rsidRPr="009D578D" w:rsidRDefault="00734F27" w:rsidP="009D578D">
      <w:pPr>
        <w:ind w:left="720"/>
        <w:rPr>
          <w:i/>
          <w:iCs/>
        </w:rPr>
      </w:pPr>
    </w:p>
    <w:p w14:paraId="03DA633D" w14:textId="45F77C5F" w:rsidR="009D578D" w:rsidRDefault="009D578D" w:rsidP="009D578D"/>
    <w:p w14:paraId="1AF9EF80" w14:textId="77777777" w:rsidR="00467625" w:rsidRDefault="00467625" w:rsidP="00662296">
      <w:pPr>
        <w:jc w:val="right"/>
        <w:rPr>
          <w:sz w:val="18"/>
          <w:szCs w:val="18"/>
        </w:rPr>
      </w:pPr>
    </w:p>
    <w:p w14:paraId="224AF998" w14:textId="7731DEAF" w:rsidR="002B0DAB" w:rsidRPr="00662296" w:rsidRDefault="00734F27" w:rsidP="00662296">
      <w:pPr>
        <w:jc w:val="right"/>
        <w:rPr>
          <w:sz w:val="18"/>
          <w:szCs w:val="18"/>
        </w:rPr>
      </w:pPr>
      <w:r>
        <w:rPr>
          <w:sz w:val="18"/>
          <w:szCs w:val="18"/>
        </w:rPr>
        <w:t>Last updated March 24</w:t>
      </w:r>
      <w:r w:rsidR="00274B84">
        <w:rPr>
          <w:sz w:val="18"/>
          <w:szCs w:val="18"/>
        </w:rPr>
        <w:t>, 20</w:t>
      </w:r>
      <w:r w:rsidR="00496103" w:rsidRPr="00496103">
        <w:rPr>
          <w:sz w:val="18"/>
          <w:szCs w:val="18"/>
        </w:rPr>
        <w:t>20</w:t>
      </w:r>
    </w:p>
    <w:sectPr w:rsidR="002B0DAB" w:rsidRPr="00662296" w:rsidSect="005A23E4">
      <w:headerReference w:type="default" r:id="rId8"/>
      <w:footerReference w:type="default" r:id="rId9"/>
      <w:head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2A75" w14:textId="77777777" w:rsidR="00BA1868" w:rsidRDefault="00BA1868" w:rsidP="009F3883">
      <w:r>
        <w:separator/>
      </w:r>
    </w:p>
  </w:endnote>
  <w:endnote w:type="continuationSeparator" w:id="0">
    <w:p w14:paraId="41F7BAE3" w14:textId="77777777" w:rsidR="00BA1868" w:rsidRDefault="00BA1868" w:rsidP="009F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97253"/>
      <w:docPartObj>
        <w:docPartGallery w:val="Page Numbers (Bottom of Page)"/>
        <w:docPartUnique/>
      </w:docPartObj>
    </w:sdtPr>
    <w:sdtEndPr>
      <w:rPr>
        <w:noProof/>
      </w:rPr>
    </w:sdtEndPr>
    <w:sdtContent>
      <w:p w14:paraId="32571E90" w14:textId="2BABE4A5" w:rsidR="009F3883" w:rsidRDefault="009F3883">
        <w:pPr>
          <w:pStyle w:val="Footer"/>
          <w:jc w:val="right"/>
        </w:pPr>
        <w:r>
          <w:fldChar w:fldCharType="begin"/>
        </w:r>
        <w:r>
          <w:instrText xml:space="preserve"> PAGE   \* MERGEFORMAT </w:instrText>
        </w:r>
        <w:r>
          <w:fldChar w:fldCharType="separate"/>
        </w:r>
        <w:r w:rsidR="004E789E">
          <w:rPr>
            <w:noProof/>
          </w:rPr>
          <w:t>4</w:t>
        </w:r>
        <w:r>
          <w:rPr>
            <w:noProof/>
          </w:rPr>
          <w:fldChar w:fldCharType="end"/>
        </w:r>
      </w:p>
    </w:sdtContent>
  </w:sdt>
  <w:p w14:paraId="32A97718" w14:textId="77777777" w:rsidR="009F3883" w:rsidRDefault="009F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2910" w14:textId="77777777" w:rsidR="00BA1868" w:rsidRDefault="00BA1868" w:rsidP="009F3883">
      <w:r>
        <w:separator/>
      </w:r>
    </w:p>
  </w:footnote>
  <w:footnote w:type="continuationSeparator" w:id="0">
    <w:p w14:paraId="37163E13" w14:textId="77777777" w:rsidR="00BA1868" w:rsidRDefault="00BA1868" w:rsidP="009F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5C6A" w14:textId="7F70A5D0" w:rsidR="005A23E4" w:rsidRDefault="005A23E4" w:rsidP="005A23E4">
    <w:pPr>
      <w:pStyle w:val="Header"/>
      <w:tabs>
        <w:tab w:val="left" w:pos="5904"/>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E783" w14:textId="70737C3E" w:rsidR="006066D0" w:rsidRDefault="006066D0" w:rsidP="00382E0D">
    <w:pPr>
      <w:pStyle w:val="Header"/>
      <w:tabs>
        <w:tab w:val="left" w:pos="7056"/>
      </w:tabs>
      <w:jc w:val="center"/>
    </w:pPr>
    <w:r>
      <w:rPr>
        <w:noProof/>
      </w:rPr>
      <w:drawing>
        <wp:inline distT="0" distB="0" distL="0" distR="0" wp14:anchorId="13DE899D" wp14:editId="12F9A957">
          <wp:extent cx="1543050" cy="638175"/>
          <wp:effectExtent l="0" t="0" r="0" b="9525"/>
          <wp:docPr id="3" name="Picture 3" descr="Administration for Community Living logo"/>
          <wp:cNvGraphicFramePr/>
          <a:graphic xmlns:a="http://schemas.openxmlformats.org/drawingml/2006/main">
            <a:graphicData uri="http://schemas.openxmlformats.org/drawingml/2006/picture">
              <pic:pic xmlns:pic="http://schemas.openxmlformats.org/drawingml/2006/picture">
                <pic:nvPicPr>
                  <pic:cNvPr id="1" name="Picture 1" descr="https://acl.gov/sites/default/files/graphics/ACL%20Logo%20RGB.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inline>
      </w:drawing>
    </w:r>
  </w:p>
  <w:p w14:paraId="5955AD06" w14:textId="1230D08D" w:rsidR="005A23E4" w:rsidRDefault="005A23E4" w:rsidP="006066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35B"/>
    <w:multiLevelType w:val="hybridMultilevel"/>
    <w:tmpl w:val="64848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AB"/>
    <w:rsid w:val="000025E3"/>
    <w:rsid w:val="000C163C"/>
    <w:rsid w:val="000D002F"/>
    <w:rsid w:val="000E11E3"/>
    <w:rsid w:val="000E478D"/>
    <w:rsid w:val="00100599"/>
    <w:rsid w:val="00124269"/>
    <w:rsid w:val="001505A8"/>
    <w:rsid w:val="00192445"/>
    <w:rsid w:val="00214894"/>
    <w:rsid w:val="00241E68"/>
    <w:rsid w:val="00274B84"/>
    <w:rsid w:val="00286AA6"/>
    <w:rsid w:val="002B0DAB"/>
    <w:rsid w:val="002B299D"/>
    <w:rsid w:val="002C327C"/>
    <w:rsid w:val="002D4A03"/>
    <w:rsid w:val="002D5425"/>
    <w:rsid w:val="002F40BC"/>
    <w:rsid w:val="00326425"/>
    <w:rsid w:val="003612DD"/>
    <w:rsid w:val="003645FE"/>
    <w:rsid w:val="00367E47"/>
    <w:rsid w:val="00382E0D"/>
    <w:rsid w:val="003947F2"/>
    <w:rsid w:val="003E32E4"/>
    <w:rsid w:val="00410457"/>
    <w:rsid w:val="00416191"/>
    <w:rsid w:val="00436AED"/>
    <w:rsid w:val="00467625"/>
    <w:rsid w:val="00496103"/>
    <w:rsid w:val="004D46CF"/>
    <w:rsid w:val="004E789E"/>
    <w:rsid w:val="00584B68"/>
    <w:rsid w:val="005A23E4"/>
    <w:rsid w:val="005E25E7"/>
    <w:rsid w:val="005E3DA4"/>
    <w:rsid w:val="005F6A36"/>
    <w:rsid w:val="00601778"/>
    <w:rsid w:val="006066D0"/>
    <w:rsid w:val="00644BDA"/>
    <w:rsid w:val="00661599"/>
    <w:rsid w:val="00662296"/>
    <w:rsid w:val="006A3E64"/>
    <w:rsid w:val="007167CD"/>
    <w:rsid w:val="00734F27"/>
    <w:rsid w:val="00763290"/>
    <w:rsid w:val="007A6E65"/>
    <w:rsid w:val="00872454"/>
    <w:rsid w:val="008753A1"/>
    <w:rsid w:val="00875C3B"/>
    <w:rsid w:val="008C009D"/>
    <w:rsid w:val="008E145B"/>
    <w:rsid w:val="008F69C9"/>
    <w:rsid w:val="00906BC6"/>
    <w:rsid w:val="00997D3E"/>
    <w:rsid w:val="009B409B"/>
    <w:rsid w:val="009C039B"/>
    <w:rsid w:val="009C2047"/>
    <w:rsid w:val="009D578D"/>
    <w:rsid w:val="009F3883"/>
    <w:rsid w:val="00A4698D"/>
    <w:rsid w:val="00A63CF7"/>
    <w:rsid w:val="00A8570E"/>
    <w:rsid w:val="00B52700"/>
    <w:rsid w:val="00B97BCD"/>
    <w:rsid w:val="00BA1868"/>
    <w:rsid w:val="00BC56D8"/>
    <w:rsid w:val="00C5021C"/>
    <w:rsid w:val="00C90A24"/>
    <w:rsid w:val="00CD055B"/>
    <w:rsid w:val="00D1100A"/>
    <w:rsid w:val="00D168FE"/>
    <w:rsid w:val="00D17791"/>
    <w:rsid w:val="00D40111"/>
    <w:rsid w:val="00DE3E47"/>
    <w:rsid w:val="00E35127"/>
    <w:rsid w:val="00EB5D08"/>
    <w:rsid w:val="00ED4501"/>
    <w:rsid w:val="00EE6945"/>
    <w:rsid w:val="00F3267E"/>
    <w:rsid w:val="00FC05E1"/>
    <w:rsid w:val="00FC25C8"/>
    <w:rsid w:val="00FD2E42"/>
    <w:rsid w:val="00F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C7DF8"/>
  <w15:chartTrackingRefBased/>
  <w15:docId w15:val="{99006C71-C50D-4CE3-BBFF-6CC9B20D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9B"/>
  </w:style>
  <w:style w:type="paragraph" w:styleId="Heading1">
    <w:name w:val="heading 1"/>
    <w:basedOn w:val="Normal"/>
    <w:next w:val="Normal"/>
    <w:link w:val="Heading1Char"/>
    <w:uiPriority w:val="9"/>
    <w:qFormat/>
    <w:rsid w:val="005F6A36"/>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A3E64"/>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D46CF"/>
    <w:pPr>
      <w:keepNext/>
      <w:keepLines/>
      <w:spacing w:before="40"/>
      <w:outlineLvl w:val="2"/>
    </w:pPr>
    <w:rPr>
      <w:rFonts w:eastAsiaTheme="majorEastAsia" w:cstheme="majorBidi"/>
      <w:color w:val="000000" w:themeColor="text1"/>
      <w:szCs w:val="24"/>
      <w:u w:val="single"/>
    </w:rPr>
  </w:style>
  <w:style w:type="paragraph" w:styleId="Heading4">
    <w:name w:val="heading 4"/>
    <w:basedOn w:val="Normal"/>
    <w:next w:val="Normal"/>
    <w:link w:val="Heading4Char"/>
    <w:uiPriority w:val="9"/>
    <w:unhideWhenUsed/>
    <w:qFormat/>
    <w:rsid w:val="004D46CF"/>
    <w:pPr>
      <w:keepNext/>
      <w:keepLines/>
      <w:spacing w:before="4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A36"/>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A3E64"/>
    <w:rPr>
      <w:rFonts w:eastAsiaTheme="majorEastAsia" w:cstheme="majorBidi"/>
      <w:b/>
      <w:sz w:val="24"/>
      <w:szCs w:val="26"/>
    </w:rPr>
  </w:style>
  <w:style w:type="character" w:customStyle="1" w:styleId="Heading3Char">
    <w:name w:val="Heading 3 Char"/>
    <w:basedOn w:val="DefaultParagraphFont"/>
    <w:link w:val="Heading3"/>
    <w:uiPriority w:val="9"/>
    <w:rsid w:val="004D46CF"/>
    <w:rPr>
      <w:rFonts w:eastAsiaTheme="majorEastAsia" w:cstheme="majorBidi"/>
      <w:color w:val="000000" w:themeColor="text1"/>
      <w:szCs w:val="24"/>
      <w:u w:val="single"/>
    </w:rPr>
  </w:style>
  <w:style w:type="character" w:customStyle="1" w:styleId="Heading4Char">
    <w:name w:val="Heading 4 Char"/>
    <w:basedOn w:val="DefaultParagraphFont"/>
    <w:link w:val="Heading4"/>
    <w:uiPriority w:val="9"/>
    <w:rsid w:val="004D46CF"/>
    <w:rPr>
      <w:rFonts w:eastAsiaTheme="majorEastAsia" w:cstheme="majorBidi"/>
      <w:i/>
      <w:iCs/>
    </w:rPr>
  </w:style>
  <w:style w:type="paragraph" w:styleId="Title">
    <w:name w:val="Title"/>
    <w:basedOn w:val="Normal"/>
    <w:next w:val="Normal"/>
    <w:link w:val="TitleChar"/>
    <w:uiPriority w:val="10"/>
    <w:qFormat/>
    <w:rsid w:val="009B409B"/>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B409B"/>
    <w:rPr>
      <w:rFonts w:eastAsiaTheme="majorEastAsia" w:cstheme="majorBidi"/>
      <w:b/>
      <w:spacing w:val="-10"/>
      <w:kern w:val="28"/>
      <w:sz w:val="40"/>
      <w:szCs w:val="56"/>
    </w:rPr>
  </w:style>
  <w:style w:type="paragraph" w:styleId="ListParagraph">
    <w:name w:val="List Paragraph"/>
    <w:basedOn w:val="Normal"/>
    <w:uiPriority w:val="34"/>
    <w:qFormat/>
    <w:rsid w:val="009C2047"/>
    <w:pPr>
      <w:ind w:left="720"/>
      <w:contextualSpacing/>
    </w:pPr>
  </w:style>
  <w:style w:type="paragraph" w:styleId="Header">
    <w:name w:val="header"/>
    <w:basedOn w:val="Normal"/>
    <w:link w:val="HeaderChar"/>
    <w:uiPriority w:val="99"/>
    <w:unhideWhenUsed/>
    <w:rsid w:val="009F3883"/>
    <w:pPr>
      <w:tabs>
        <w:tab w:val="center" w:pos="4680"/>
        <w:tab w:val="right" w:pos="9360"/>
      </w:tabs>
    </w:pPr>
  </w:style>
  <w:style w:type="character" w:customStyle="1" w:styleId="HeaderChar">
    <w:name w:val="Header Char"/>
    <w:basedOn w:val="DefaultParagraphFont"/>
    <w:link w:val="Header"/>
    <w:uiPriority w:val="99"/>
    <w:rsid w:val="009F3883"/>
  </w:style>
  <w:style w:type="paragraph" w:styleId="Footer">
    <w:name w:val="footer"/>
    <w:basedOn w:val="Normal"/>
    <w:link w:val="FooterChar"/>
    <w:uiPriority w:val="99"/>
    <w:unhideWhenUsed/>
    <w:rsid w:val="009F3883"/>
    <w:pPr>
      <w:tabs>
        <w:tab w:val="center" w:pos="4680"/>
        <w:tab w:val="right" w:pos="9360"/>
      </w:tabs>
    </w:pPr>
  </w:style>
  <w:style w:type="character" w:customStyle="1" w:styleId="FooterChar">
    <w:name w:val="Footer Char"/>
    <w:basedOn w:val="DefaultParagraphFont"/>
    <w:link w:val="Footer"/>
    <w:uiPriority w:val="99"/>
    <w:rsid w:val="009F3883"/>
  </w:style>
  <w:style w:type="character" w:styleId="CommentReference">
    <w:name w:val="annotation reference"/>
    <w:basedOn w:val="DefaultParagraphFont"/>
    <w:uiPriority w:val="99"/>
    <w:semiHidden/>
    <w:unhideWhenUsed/>
    <w:rsid w:val="002C327C"/>
    <w:rPr>
      <w:sz w:val="16"/>
      <w:szCs w:val="16"/>
    </w:rPr>
  </w:style>
  <w:style w:type="paragraph" w:styleId="CommentText">
    <w:name w:val="annotation text"/>
    <w:basedOn w:val="Normal"/>
    <w:link w:val="CommentTextChar"/>
    <w:uiPriority w:val="99"/>
    <w:semiHidden/>
    <w:unhideWhenUsed/>
    <w:rsid w:val="002C327C"/>
    <w:rPr>
      <w:sz w:val="20"/>
      <w:szCs w:val="20"/>
    </w:rPr>
  </w:style>
  <w:style w:type="character" w:customStyle="1" w:styleId="CommentTextChar">
    <w:name w:val="Comment Text Char"/>
    <w:basedOn w:val="DefaultParagraphFont"/>
    <w:link w:val="CommentText"/>
    <w:uiPriority w:val="99"/>
    <w:semiHidden/>
    <w:rsid w:val="002C327C"/>
    <w:rPr>
      <w:sz w:val="20"/>
      <w:szCs w:val="20"/>
    </w:rPr>
  </w:style>
  <w:style w:type="paragraph" w:styleId="CommentSubject">
    <w:name w:val="annotation subject"/>
    <w:basedOn w:val="CommentText"/>
    <w:next w:val="CommentText"/>
    <w:link w:val="CommentSubjectChar"/>
    <w:uiPriority w:val="99"/>
    <w:semiHidden/>
    <w:unhideWhenUsed/>
    <w:rsid w:val="002C327C"/>
    <w:rPr>
      <w:b/>
      <w:bCs/>
    </w:rPr>
  </w:style>
  <w:style w:type="character" w:customStyle="1" w:styleId="CommentSubjectChar">
    <w:name w:val="Comment Subject Char"/>
    <w:basedOn w:val="CommentTextChar"/>
    <w:link w:val="CommentSubject"/>
    <w:uiPriority w:val="99"/>
    <w:semiHidden/>
    <w:rsid w:val="002C327C"/>
    <w:rPr>
      <w:b/>
      <w:bCs/>
      <w:sz w:val="20"/>
      <w:szCs w:val="20"/>
    </w:rPr>
  </w:style>
  <w:style w:type="paragraph" w:styleId="BalloonText">
    <w:name w:val="Balloon Text"/>
    <w:basedOn w:val="Normal"/>
    <w:link w:val="BalloonTextChar"/>
    <w:uiPriority w:val="99"/>
    <w:semiHidden/>
    <w:unhideWhenUsed/>
    <w:rsid w:val="002C3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7C"/>
    <w:rPr>
      <w:rFonts w:ascii="Segoe UI" w:hAnsi="Segoe UI" w:cs="Segoe UI"/>
      <w:sz w:val="18"/>
      <w:szCs w:val="18"/>
    </w:rPr>
  </w:style>
  <w:style w:type="paragraph" w:styleId="Revision">
    <w:name w:val="Revision"/>
    <w:hidden/>
    <w:uiPriority w:val="99"/>
    <w:semiHidden/>
    <w:rsid w:val="00C90A24"/>
  </w:style>
  <w:style w:type="character" w:styleId="Hyperlink">
    <w:name w:val="Hyperlink"/>
    <w:basedOn w:val="DefaultParagraphFont"/>
    <w:uiPriority w:val="99"/>
    <w:unhideWhenUsed/>
    <w:rsid w:val="00734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2152">
      <w:bodyDiv w:val="1"/>
      <w:marLeft w:val="0"/>
      <w:marRight w:val="0"/>
      <w:marTop w:val="0"/>
      <w:marBottom w:val="0"/>
      <w:divBdr>
        <w:top w:val="none" w:sz="0" w:space="0" w:color="auto"/>
        <w:left w:val="none" w:sz="0" w:space="0" w:color="auto"/>
        <w:bottom w:val="none" w:sz="0" w:space="0" w:color="auto"/>
        <w:right w:val="none" w:sz="0" w:space="0" w:color="auto"/>
      </w:divBdr>
    </w:div>
    <w:div w:id="1213466768">
      <w:bodyDiv w:val="1"/>
      <w:marLeft w:val="0"/>
      <w:marRight w:val="0"/>
      <w:marTop w:val="0"/>
      <w:marBottom w:val="0"/>
      <w:divBdr>
        <w:top w:val="none" w:sz="0" w:space="0" w:color="auto"/>
        <w:left w:val="none" w:sz="0" w:space="0" w:color="auto"/>
        <w:bottom w:val="none" w:sz="0" w:space="0" w:color="auto"/>
        <w:right w:val="none" w:sz="0" w:space="0" w:color="auto"/>
      </w:divBdr>
    </w:div>
    <w:div w:id="14128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2.fireeye.com/url?k=0a3fc4f0-566bdd8c-0a3ff5cf-0cc47adc5fa2-8ccd7bf5e0c746dd&amp;u=https://www.at3center.net/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EC0C.828514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Groenendaal, Robert (ACL)</cp:lastModifiedBy>
  <cp:revision>2</cp:revision>
  <dcterms:created xsi:type="dcterms:W3CDTF">2020-03-24T20:53:00Z</dcterms:created>
  <dcterms:modified xsi:type="dcterms:W3CDTF">2020-03-24T20:53:00Z</dcterms:modified>
</cp:coreProperties>
</file>