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5C" w:rsidRPr="00713EC5" w:rsidRDefault="00B71F5C" w:rsidP="00B71F5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713EC5">
        <w:rPr>
          <w:rFonts w:ascii="Times New Roman" w:hAnsi="Times New Roman"/>
          <w:b/>
          <w:bCs/>
        </w:rPr>
        <w:t>Nondiscrimination statement for significant publications and signification communications that are small-size:</w:t>
      </w:r>
    </w:p>
    <w:p w:rsidR="00B71F5C" w:rsidRPr="00713EC5" w:rsidRDefault="00B71F5C" w:rsidP="00B71F5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713EC5">
        <w:rPr>
          <w:rFonts w:ascii="Times New Roman" w:hAnsi="Times New Roman"/>
          <w:lang w:val="uk"/>
        </w:rPr>
        <w:t xml:space="preserve">[Name of covered entity] дотримується чинних федеральних законів про цивільні права і не допускає дискримінації за ознакою раси, кольору шкіри, національного походження, віку, інвалідності чи статі.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5C"/>
    <w:rsid w:val="00B71F5C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F5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F5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DHHS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2016-07-25T18:53:00Z</dcterms:created>
  <dcterms:modified xsi:type="dcterms:W3CDTF">2016-07-25T18:53:00Z</dcterms:modified>
</cp:coreProperties>
</file>